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21722568"/>
        <w:docPartObj>
          <w:docPartGallery w:val="Cover Pages"/>
          <w:docPartUnique/>
        </w:docPartObj>
      </w:sdtPr>
      <w:sdtEndPr>
        <w:rPr>
          <w:rFonts w:asciiTheme="majorHAnsi" w:hAnsiTheme="majorHAnsi"/>
        </w:rPr>
      </w:sdtEndPr>
      <w:sdtContent>
        <w:p w:rsidR="00993532" w:rsidRDefault="00993532">
          <w:r w:rsidRPr="00891412">
            <w:rPr>
              <w:noProof/>
            </w:rPr>
            <w:drawing>
              <wp:inline distT="0" distB="0" distL="0" distR="0" wp14:anchorId="7EAD4301" wp14:editId="57F08116">
                <wp:extent cx="2057400" cy="2066925"/>
                <wp:effectExtent l="0" t="0" r="0" b="9525"/>
                <wp:docPr id="1" name="Picture 4"/>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059808" cy="2069344"/>
                        </a:xfrm>
                        <a:prstGeom prst="rect">
                          <a:avLst/>
                        </a:prstGeom>
                        <a:noFill/>
                        <a:ln w="9525" algn="in">
                          <a:noFill/>
                          <a:miter lim="800000"/>
                          <a:headEnd/>
                          <a:tailEnd/>
                        </a:ln>
                        <a:effectLst/>
                      </pic:spPr>
                    </pic:pic>
                  </a:graphicData>
                </a:graphic>
              </wp:inline>
            </w:drawing>
          </w:r>
        </w:p>
        <w:tbl>
          <w:tblPr>
            <w:tblpPr w:leftFromText="187" w:rightFromText="187" w:horzAnchor="margin" w:tblpXSpec="right" w:tblpYSpec="top"/>
            <w:tblW w:w="3106"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5814"/>
          </w:tblGrid>
          <w:tr w:rsidR="00993532" w:rsidTr="001841F8">
            <w:sdt>
              <w:sdtPr>
                <w:rPr>
                  <w:rFonts w:asciiTheme="majorHAnsi" w:eastAsiaTheme="majorEastAsia" w:hAnsiTheme="majorHAnsi" w:cstheme="majorBidi"/>
                  <w:b/>
                  <w:sz w:val="52"/>
                  <w:szCs w:val="52"/>
                </w:rPr>
                <w:alias w:val="Titl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5000" w:type="pct"/>
                  </w:tcPr>
                  <w:p w:rsidR="00993532" w:rsidRDefault="001841F8" w:rsidP="00A870FE">
                    <w:pPr>
                      <w:pStyle w:val="NoSpacing"/>
                      <w:rPr>
                        <w:rFonts w:asciiTheme="majorHAnsi" w:eastAsiaTheme="majorEastAsia" w:hAnsiTheme="majorHAnsi" w:cstheme="majorBidi"/>
                        <w:sz w:val="72"/>
                        <w:szCs w:val="72"/>
                      </w:rPr>
                    </w:pPr>
                    <w:r>
                      <w:rPr>
                        <w:rFonts w:asciiTheme="majorHAnsi" w:eastAsiaTheme="majorEastAsia" w:hAnsiTheme="majorHAnsi" w:cstheme="majorBidi"/>
                        <w:b/>
                        <w:sz w:val="52"/>
                        <w:szCs w:val="52"/>
                      </w:rPr>
                      <w:t>ANNUAL REPORT</w:t>
                    </w:r>
                    <w:r w:rsidR="00227C8A">
                      <w:rPr>
                        <w:rFonts w:asciiTheme="majorHAnsi" w:eastAsiaTheme="majorEastAsia" w:hAnsiTheme="majorHAnsi" w:cstheme="majorBidi"/>
                        <w:b/>
                        <w:sz w:val="52"/>
                        <w:szCs w:val="52"/>
                      </w:rPr>
                      <w:t xml:space="preserve"> Competition and Consumer Affairs Commission for 2012</w:t>
                    </w:r>
                  </w:p>
                </w:tc>
              </w:sdtContent>
            </w:sdt>
          </w:tr>
          <w:tr w:rsidR="00993532" w:rsidTr="001841F8">
            <w:tc>
              <w:tcPr>
                <w:tcW w:w="5000" w:type="pct"/>
              </w:tcPr>
              <w:p w:rsidR="00993532" w:rsidRPr="00993532" w:rsidRDefault="00993532" w:rsidP="00AD32AE">
                <w:pPr>
                  <w:pStyle w:val="NoSpacing"/>
                  <w:rPr>
                    <w:rFonts w:asciiTheme="majorHAnsi" w:hAnsiTheme="majorHAnsi"/>
                    <w:sz w:val="40"/>
                    <w:szCs w:val="40"/>
                  </w:rPr>
                </w:pPr>
                <w:r w:rsidRPr="00993532">
                  <w:rPr>
                    <w:rFonts w:asciiTheme="majorHAnsi" w:hAnsiTheme="majorHAnsi"/>
                    <w:sz w:val="40"/>
                    <w:szCs w:val="40"/>
                  </w:rPr>
                  <w:t xml:space="preserve">For the period January 2012 through </w:t>
                </w:r>
                <w:r w:rsidR="00AD32AE">
                  <w:rPr>
                    <w:rFonts w:asciiTheme="majorHAnsi" w:hAnsiTheme="majorHAnsi"/>
                    <w:sz w:val="40"/>
                    <w:szCs w:val="40"/>
                  </w:rPr>
                  <w:t>January 16</w:t>
                </w:r>
                <w:r w:rsidR="00AD32AE" w:rsidRPr="00AD32AE">
                  <w:rPr>
                    <w:rFonts w:asciiTheme="majorHAnsi" w:hAnsiTheme="majorHAnsi"/>
                    <w:sz w:val="40"/>
                    <w:szCs w:val="40"/>
                    <w:vertAlign w:val="superscript"/>
                  </w:rPr>
                  <w:t>th</w:t>
                </w:r>
                <w:r w:rsidR="00AD32AE">
                  <w:rPr>
                    <w:rFonts w:asciiTheme="majorHAnsi" w:hAnsiTheme="majorHAnsi"/>
                    <w:sz w:val="40"/>
                    <w:szCs w:val="40"/>
                  </w:rPr>
                  <w:t>, 2013</w:t>
                </w:r>
              </w:p>
            </w:tc>
          </w:tr>
          <w:tr w:rsidR="00993532" w:rsidRPr="00993532" w:rsidTr="001841F8">
            <w:sdt>
              <w:sdtPr>
                <w:rPr>
                  <w:rFonts w:asciiTheme="majorHAnsi" w:hAnsiTheme="majorHAnsi"/>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5000" w:type="pct"/>
                  </w:tcPr>
                  <w:p w:rsidR="00993532" w:rsidRPr="00993532" w:rsidRDefault="00227C8A">
                    <w:pPr>
                      <w:pStyle w:val="NoSpacing"/>
                      <w:rPr>
                        <w:rFonts w:asciiTheme="majorHAnsi" w:hAnsiTheme="majorHAnsi"/>
                        <w:sz w:val="28"/>
                        <w:szCs w:val="28"/>
                      </w:rPr>
                    </w:pPr>
                    <w:r>
                      <w:rPr>
                        <w:rFonts w:asciiTheme="majorHAnsi" w:hAnsiTheme="majorHAnsi"/>
                        <w:sz w:val="28"/>
                        <w:szCs w:val="28"/>
                      </w:rPr>
                      <w:t xml:space="preserve">Seema </w:t>
                    </w:r>
                    <w:proofErr w:type="spellStart"/>
                    <w:r>
                      <w:rPr>
                        <w:rFonts w:asciiTheme="majorHAnsi" w:hAnsiTheme="majorHAnsi"/>
                        <w:sz w:val="28"/>
                        <w:szCs w:val="28"/>
                      </w:rPr>
                      <w:t>Rambaran</w:t>
                    </w:r>
                    <w:proofErr w:type="spellEnd"/>
                    <w:r>
                      <w:rPr>
                        <w:rFonts w:asciiTheme="majorHAnsi" w:hAnsiTheme="majorHAnsi"/>
                        <w:sz w:val="28"/>
                        <w:szCs w:val="28"/>
                      </w:rPr>
                      <w:t>, Director</w:t>
                    </w:r>
                  </w:p>
                </w:tc>
              </w:sdtContent>
            </w:sdt>
          </w:tr>
        </w:tbl>
        <w:p w:rsidR="00993532" w:rsidRPr="00993532" w:rsidRDefault="00993532">
          <w:pPr>
            <w:rPr>
              <w:rFonts w:asciiTheme="majorHAnsi" w:hAnsiTheme="majorHAnsi"/>
            </w:rPr>
          </w:pPr>
        </w:p>
        <w:p w:rsidR="00993532" w:rsidRPr="00993532" w:rsidRDefault="00993532">
          <w:pPr>
            <w:rPr>
              <w:rFonts w:asciiTheme="majorHAnsi" w:hAnsiTheme="majorHAnsi"/>
            </w:rPr>
          </w:pPr>
          <w:r w:rsidRPr="00993532">
            <w:rPr>
              <w:rFonts w:asciiTheme="majorHAnsi" w:hAnsiTheme="majorHAnsi"/>
            </w:rPr>
            <w:br w:type="page"/>
          </w:r>
        </w:p>
      </w:sdtContent>
    </w:sdt>
    <w:bookmarkStart w:id="0" w:name="_Toc340808237" w:displacedByCustomXml="next"/>
    <w:sdt>
      <w:sdtPr>
        <w:rPr>
          <w:rFonts w:asciiTheme="minorHAnsi" w:eastAsiaTheme="minorHAnsi" w:hAnsiTheme="minorHAnsi" w:cstheme="minorBidi"/>
          <w:b w:val="0"/>
          <w:bCs w:val="0"/>
          <w:color w:val="auto"/>
          <w:sz w:val="22"/>
          <w:szCs w:val="22"/>
          <w:lang w:eastAsia="en-US"/>
        </w:rPr>
        <w:id w:val="461707056"/>
        <w:docPartObj>
          <w:docPartGallery w:val="Table of Contents"/>
          <w:docPartUnique/>
        </w:docPartObj>
      </w:sdtPr>
      <w:sdtEndPr>
        <w:rPr>
          <w:rFonts w:asciiTheme="majorHAnsi" w:hAnsiTheme="majorHAnsi"/>
          <w:noProof/>
        </w:rPr>
      </w:sdtEndPr>
      <w:sdtContent>
        <w:p w:rsidR="004342DA" w:rsidRDefault="004342DA">
          <w:pPr>
            <w:pStyle w:val="TOCHeading"/>
          </w:pPr>
          <w:r>
            <w:t>Contents</w:t>
          </w:r>
        </w:p>
        <w:p w:rsidR="00046A8A" w:rsidRPr="00046A8A" w:rsidRDefault="004342DA">
          <w:pPr>
            <w:pStyle w:val="TOC1"/>
            <w:tabs>
              <w:tab w:val="right" w:leader="dot" w:pos="9350"/>
            </w:tabs>
            <w:rPr>
              <w:rFonts w:asciiTheme="majorHAnsi" w:eastAsiaTheme="minorEastAsia" w:hAnsiTheme="majorHAnsi"/>
              <w:noProof/>
            </w:rPr>
          </w:pPr>
          <w:r w:rsidRPr="00046A8A">
            <w:rPr>
              <w:rFonts w:asciiTheme="majorHAnsi" w:hAnsiTheme="majorHAnsi"/>
            </w:rPr>
            <w:fldChar w:fldCharType="begin"/>
          </w:r>
          <w:r w:rsidRPr="00046A8A">
            <w:rPr>
              <w:rFonts w:asciiTheme="majorHAnsi" w:hAnsiTheme="majorHAnsi"/>
            </w:rPr>
            <w:instrText xml:space="preserve"> TOC \o "1-3" \h \z \u </w:instrText>
          </w:r>
          <w:r w:rsidRPr="00046A8A">
            <w:rPr>
              <w:rFonts w:asciiTheme="majorHAnsi" w:hAnsiTheme="majorHAnsi"/>
            </w:rPr>
            <w:fldChar w:fldCharType="separate"/>
          </w:r>
          <w:hyperlink w:anchor="_Toc346108588" w:history="1">
            <w:r w:rsidR="00046A8A" w:rsidRPr="00046A8A">
              <w:rPr>
                <w:rStyle w:val="Hyperlink"/>
                <w:rFonts w:asciiTheme="majorHAnsi" w:hAnsiTheme="majorHAnsi"/>
                <w:noProof/>
              </w:rPr>
              <w:t>STAFF RECRUITMENT</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_Toc346108588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2</w:t>
            </w:r>
            <w:r w:rsidR="00046A8A" w:rsidRPr="00046A8A">
              <w:rPr>
                <w:rFonts w:asciiTheme="majorHAnsi" w:hAnsiTheme="majorHAnsi"/>
                <w:noProof/>
                <w:webHidden/>
              </w:rPr>
              <w:fldChar w:fldCharType="end"/>
            </w:r>
          </w:hyperlink>
        </w:p>
        <w:p w:rsidR="00046A8A" w:rsidRPr="00046A8A" w:rsidRDefault="00905D21">
          <w:pPr>
            <w:pStyle w:val="TOC1"/>
            <w:tabs>
              <w:tab w:val="right" w:leader="dot" w:pos="9350"/>
            </w:tabs>
            <w:rPr>
              <w:rFonts w:asciiTheme="majorHAnsi" w:eastAsiaTheme="minorEastAsia" w:hAnsiTheme="majorHAnsi"/>
              <w:noProof/>
            </w:rPr>
          </w:pPr>
          <w:hyperlink w:anchor="_Toc346108589" w:history="1">
            <w:r w:rsidR="00046A8A" w:rsidRPr="00046A8A">
              <w:rPr>
                <w:rStyle w:val="Hyperlink"/>
                <w:rFonts w:asciiTheme="majorHAnsi" w:eastAsia="Times New Roman" w:hAnsiTheme="majorHAnsi"/>
                <w:noProof/>
              </w:rPr>
              <w:t>COMMISSIONERS</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_Toc346108589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2</w:t>
            </w:r>
            <w:r w:rsidR="00046A8A" w:rsidRPr="00046A8A">
              <w:rPr>
                <w:rFonts w:asciiTheme="majorHAnsi" w:hAnsiTheme="majorHAnsi"/>
                <w:noProof/>
                <w:webHidden/>
              </w:rPr>
              <w:fldChar w:fldCharType="end"/>
            </w:r>
          </w:hyperlink>
        </w:p>
        <w:p w:rsidR="00046A8A" w:rsidRPr="00046A8A" w:rsidRDefault="00905D21">
          <w:pPr>
            <w:pStyle w:val="TOC1"/>
            <w:tabs>
              <w:tab w:val="right" w:leader="dot" w:pos="9350"/>
            </w:tabs>
            <w:rPr>
              <w:rFonts w:asciiTheme="majorHAnsi" w:eastAsiaTheme="minorEastAsia" w:hAnsiTheme="majorHAnsi"/>
              <w:noProof/>
            </w:rPr>
          </w:pPr>
          <w:hyperlink w:anchor="_Toc346108590" w:history="1">
            <w:r w:rsidR="00046A8A" w:rsidRPr="00046A8A">
              <w:rPr>
                <w:rStyle w:val="Hyperlink"/>
                <w:rFonts w:asciiTheme="majorHAnsi" w:hAnsiTheme="majorHAnsi"/>
                <w:noProof/>
              </w:rPr>
              <w:t>CART FUND</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_Toc346108590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2</w:t>
            </w:r>
            <w:r w:rsidR="00046A8A" w:rsidRPr="00046A8A">
              <w:rPr>
                <w:rFonts w:asciiTheme="majorHAnsi" w:hAnsiTheme="majorHAnsi"/>
                <w:noProof/>
                <w:webHidden/>
              </w:rPr>
              <w:fldChar w:fldCharType="end"/>
            </w:r>
          </w:hyperlink>
        </w:p>
        <w:p w:rsidR="00046A8A" w:rsidRPr="00046A8A" w:rsidRDefault="00905D21">
          <w:pPr>
            <w:pStyle w:val="TOC1"/>
            <w:tabs>
              <w:tab w:val="right" w:leader="dot" w:pos="9350"/>
            </w:tabs>
            <w:rPr>
              <w:rFonts w:asciiTheme="majorHAnsi" w:eastAsiaTheme="minorEastAsia" w:hAnsiTheme="majorHAnsi"/>
              <w:noProof/>
            </w:rPr>
          </w:pPr>
          <w:hyperlink w:anchor="_Toc346108591" w:history="1">
            <w:r w:rsidR="00046A8A" w:rsidRPr="00046A8A">
              <w:rPr>
                <w:rStyle w:val="Hyperlink"/>
                <w:rFonts w:asciiTheme="majorHAnsi" w:hAnsiTheme="majorHAnsi"/>
                <w:noProof/>
              </w:rPr>
              <w:t>TECHNICAL ASSISTANCE FOR THE CCAC</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_Toc346108591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2</w:t>
            </w:r>
            <w:r w:rsidR="00046A8A" w:rsidRPr="00046A8A">
              <w:rPr>
                <w:rFonts w:asciiTheme="majorHAnsi" w:hAnsiTheme="majorHAnsi"/>
                <w:noProof/>
                <w:webHidden/>
              </w:rPr>
              <w:fldChar w:fldCharType="end"/>
            </w:r>
          </w:hyperlink>
          <w:r w:rsidR="00B07C37">
            <w:rPr>
              <w:rFonts w:asciiTheme="majorHAnsi" w:hAnsiTheme="majorHAnsi"/>
              <w:noProof/>
            </w:rPr>
            <w:t>-3</w:t>
          </w:r>
        </w:p>
        <w:p w:rsidR="00046A8A" w:rsidRPr="00046A8A" w:rsidRDefault="00905D21">
          <w:pPr>
            <w:pStyle w:val="TOC1"/>
            <w:tabs>
              <w:tab w:val="right" w:leader="dot" w:pos="9350"/>
            </w:tabs>
            <w:rPr>
              <w:rFonts w:asciiTheme="majorHAnsi" w:eastAsiaTheme="minorEastAsia" w:hAnsiTheme="majorHAnsi"/>
              <w:noProof/>
            </w:rPr>
          </w:pPr>
          <w:hyperlink w:anchor="_Toc346108592" w:history="1">
            <w:r w:rsidR="00046A8A" w:rsidRPr="00046A8A">
              <w:rPr>
                <w:rStyle w:val="Hyperlink"/>
                <w:rFonts w:asciiTheme="majorHAnsi" w:hAnsiTheme="majorHAnsi"/>
                <w:noProof/>
              </w:rPr>
              <w:t>OTHER ACTIVITIES COVERED BY GRANT AGREEMENT</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_Toc346108592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3</w:t>
            </w:r>
            <w:r w:rsidR="00046A8A" w:rsidRPr="00046A8A">
              <w:rPr>
                <w:rFonts w:asciiTheme="majorHAnsi" w:hAnsiTheme="majorHAnsi"/>
                <w:noProof/>
                <w:webHidden/>
              </w:rPr>
              <w:fldChar w:fldCharType="end"/>
            </w:r>
          </w:hyperlink>
        </w:p>
        <w:p w:rsidR="00046A8A" w:rsidRPr="00046A8A" w:rsidRDefault="00905D21">
          <w:pPr>
            <w:pStyle w:val="TOC2"/>
            <w:tabs>
              <w:tab w:val="right" w:leader="dot" w:pos="9350"/>
            </w:tabs>
            <w:rPr>
              <w:rFonts w:asciiTheme="majorHAnsi" w:eastAsiaTheme="minorEastAsia" w:hAnsiTheme="majorHAnsi"/>
              <w:noProof/>
            </w:rPr>
          </w:pPr>
          <w:hyperlink w:anchor="_Toc346108593" w:history="1">
            <w:r w:rsidR="00046A8A" w:rsidRPr="00046A8A">
              <w:rPr>
                <w:rStyle w:val="Hyperlink"/>
                <w:rFonts w:asciiTheme="majorHAnsi" w:hAnsiTheme="majorHAnsi"/>
                <w:noProof/>
              </w:rPr>
              <w:t>(i) Procurement of a Vehicle</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_Toc346108593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4</w:t>
            </w:r>
            <w:r w:rsidR="00046A8A" w:rsidRPr="00046A8A">
              <w:rPr>
                <w:rFonts w:asciiTheme="majorHAnsi" w:hAnsiTheme="majorHAnsi"/>
                <w:noProof/>
                <w:webHidden/>
              </w:rPr>
              <w:fldChar w:fldCharType="end"/>
            </w:r>
          </w:hyperlink>
        </w:p>
        <w:p w:rsidR="00046A8A" w:rsidRPr="00046A8A" w:rsidRDefault="00905D21">
          <w:pPr>
            <w:pStyle w:val="TOC2"/>
            <w:tabs>
              <w:tab w:val="right" w:leader="dot" w:pos="9350"/>
            </w:tabs>
            <w:rPr>
              <w:rFonts w:asciiTheme="majorHAnsi" w:eastAsiaTheme="minorEastAsia" w:hAnsiTheme="majorHAnsi"/>
              <w:noProof/>
            </w:rPr>
          </w:pPr>
          <w:hyperlink w:anchor="_Toc346108594" w:history="1">
            <w:r w:rsidR="00046A8A" w:rsidRPr="00046A8A">
              <w:rPr>
                <w:rStyle w:val="Hyperlink"/>
                <w:rFonts w:asciiTheme="majorHAnsi" w:hAnsiTheme="majorHAnsi"/>
                <w:noProof/>
              </w:rPr>
              <w:t>(ii) Design and Development of a Database</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_Toc346108594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4</w:t>
            </w:r>
            <w:r w:rsidR="00046A8A" w:rsidRPr="00046A8A">
              <w:rPr>
                <w:rFonts w:asciiTheme="majorHAnsi" w:hAnsiTheme="majorHAnsi"/>
                <w:noProof/>
                <w:webHidden/>
              </w:rPr>
              <w:fldChar w:fldCharType="end"/>
            </w:r>
          </w:hyperlink>
        </w:p>
        <w:p w:rsidR="00046A8A" w:rsidRPr="00046A8A" w:rsidRDefault="00905D21">
          <w:pPr>
            <w:pStyle w:val="TOC1"/>
            <w:tabs>
              <w:tab w:val="right" w:leader="dot" w:pos="9350"/>
            </w:tabs>
            <w:rPr>
              <w:rFonts w:asciiTheme="majorHAnsi" w:eastAsiaTheme="minorEastAsia" w:hAnsiTheme="majorHAnsi"/>
              <w:noProof/>
            </w:rPr>
          </w:pPr>
          <w:hyperlink w:anchor="_Toc346108595" w:history="1">
            <w:r w:rsidR="00046A8A" w:rsidRPr="00046A8A">
              <w:rPr>
                <w:rStyle w:val="Hyperlink"/>
                <w:rFonts w:asciiTheme="majorHAnsi" w:eastAsia="Times New Roman" w:hAnsiTheme="majorHAnsi"/>
                <w:noProof/>
              </w:rPr>
              <w:t>CART FUND EXPENDITURE AS AT 31 December 2012</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_Toc346108595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5</w:t>
            </w:r>
            <w:r w:rsidR="00046A8A" w:rsidRPr="00046A8A">
              <w:rPr>
                <w:rFonts w:asciiTheme="majorHAnsi" w:hAnsiTheme="majorHAnsi"/>
                <w:noProof/>
                <w:webHidden/>
              </w:rPr>
              <w:fldChar w:fldCharType="end"/>
            </w:r>
          </w:hyperlink>
        </w:p>
        <w:p w:rsidR="00046A8A" w:rsidRPr="00046A8A" w:rsidRDefault="00905D21">
          <w:pPr>
            <w:pStyle w:val="TOC3"/>
            <w:tabs>
              <w:tab w:val="right" w:leader="dot" w:pos="9350"/>
            </w:tabs>
            <w:rPr>
              <w:rFonts w:asciiTheme="majorHAnsi" w:eastAsiaTheme="minorEastAsia" w:hAnsiTheme="majorHAnsi"/>
              <w:noProof/>
            </w:rPr>
          </w:pPr>
          <w:hyperlink w:anchor="_Toc346108596" w:history="1">
            <w:r w:rsidR="00046A8A" w:rsidRPr="00046A8A">
              <w:rPr>
                <w:rStyle w:val="Hyperlink"/>
                <w:rFonts w:asciiTheme="majorHAnsi" w:eastAsia="Times New Roman" w:hAnsiTheme="majorHAnsi"/>
                <w:noProof/>
              </w:rPr>
              <w:t>Project Activity</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_Toc346108596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5</w:t>
            </w:r>
            <w:r w:rsidR="00046A8A" w:rsidRPr="00046A8A">
              <w:rPr>
                <w:rFonts w:asciiTheme="majorHAnsi" w:hAnsiTheme="majorHAnsi"/>
                <w:noProof/>
                <w:webHidden/>
              </w:rPr>
              <w:fldChar w:fldCharType="end"/>
            </w:r>
          </w:hyperlink>
        </w:p>
        <w:p w:rsidR="00046A8A" w:rsidRPr="00046A8A" w:rsidRDefault="00905D21">
          <w:pPr>
            <w:pStyle w:val="TOC3"/>
            <w:tabs>
              <w:tab w:val="right" w:leader="dot" w:pos="9350"/>
            </w:tabs>
            <w:rPr>
              <w:rFonts w:asciiTheme="majorHAnsi" w:eastAsiaTheme="minorEastAsia" w:hAnsiTheme="majorHAnsi"/>
              <w:noProof/>
            </w:rPr>
          </w:pPr>
          <w:hyperlink w:anchor="_Toc346108597" w:history="1">
            <w:r w:rsidR="00046A8A" w:rsidRPr="00046A8A">
              <w:rPr>
                <w:rStyle w:val="Hyperlink"/>
                <w:rFonts w:asciiTheme="majorHAnsi" w:eastAsia="Times New Roman" w:hAnsiTheme="majorHAnsi"/>
                <w:noProof/>
              </w:rPr>
              <w:t>Expenditure to Date</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_Toc346108597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5</w:t>
            </w:r>
            <w:r w:rsidR="00046A8A" w:rsidRPr="00046A8A">
              <w:rPr>
                <w:rFonts w:asciiTheme="majorHAnsi" w:hAnsiTheme="majorHAnsi"/>
                <w:noProof/>
                <w:webHidden/>
              </w:rPr>
              <w:fldChar w:fldCharType="end"/>
            </w:r>
          </w:hyperlink>
        </w:p>
        <w:p w:rsidR="00046A8A" w:rsidRPr="00046A8A" w:rsidRDefault="00905D21">
          <w:pPr>
            <w:pStyle w:val="TOC1"/>
            <w:tabs>
              <w:tab w:val="right" w:leader="dot" w:pos="9350"/>
            </w:tabs>
            <w:rPr>
              <w:rFonts w:asciiTheme="majorHAnsi" w:eastAsiaTheme="minorEastAsia" w:hAnsiTheme="majorHAnsi"/>
              <w:noProof/>
            </w:rPr>
          </w:pPr>
          <w:hyperlink w:anchor="_Toc346108598" w:history="1">
            <w:r w:rsidR="00046A8A" w:rsidRPr="00046A8A">
              <w:rPr>
                <w:rStyle w:val="Hyperlink"/>
                <w:rFonts w:asciiTheme="majorHAnsi" w:hAnsiTheme="majorHAnsi"/>
                <w:noProof/>
              </w:rPr>
              <w:t>STEERING COMMITTEE</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_Toc346108598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6</w:t>
            </w:r>
            <w:r w:rsidR="00046A8A" w:rsidRPr="00046A8A">
              <w:rPr>
                <w:rFonts w:asciiTheme="majorHAnsi" w:hAnsiTheme="majorHAnsi"/>
                <w:noProof/>
                <w:webHidden/>
              </w:rPr>
              <w:fldChar w:fldCharType="end"/>
            </w:r>
          </w:hyperlink>
        </w:p>
        <w:p w:rsidR="00046A8A" w:rsidRPr="00046A8A" w:rsidRDefault="00905D21">
          <w:pPr>
            <w:pStyle w:val="TOC1"/>
            <w:tabs>
              <w:tab w:val="right" w:leader="dot" w:pos="9350"/>
            </w:tabs>
            <w:rPr>
              <w:rFonts w:asciiTheme="majorHAnsi" w:eastAsiaTheme="minorEastAsia" w:hAnsiTheme="majorHAnsi"/>
              <w:noProof/>
            </w:rPr>
          </w:pPr>
          <w:hyperlink w:anchor="_Toc346108599" w:history="1">
            <w:r w:rsidR="00046A8A" w:rsidRPr="00046A8A">
              <w:rPr>
                <w:rStyle w:val="Hyperlink"/>
                <w:rFonts w:asciiTheme="majorHAnsi" w:hAnsiTheme="majorHAnsi"/>
                <w:noProof/>
              </w:rPr>
              <w:t>RULES OF PROCEDURES</w:t>
            </w:r>
            <w:r w:rsidR="00046A8A" w:rsidRPr="00046A8A">
              <w:rPr>
                <w:rFonts w:asciiTheme="majorHAnsi" w:hAnsiTheme="majorHAnsi"/>
                <w:noProof/>
                <w:webHidden/>
              </w:rPr>
              <w:tab/>
            </w:r>
            <w:r w:rsidR="00046A8A" w:rsidRPr="00046A8A">
              <w:rPr>
                <w:rFonts w:asciiTheme="majorHAnsi" w:hAnsiTheme="majorHAnsi"/>
                <w:noProof/>
                <w:webHidden/>
              </w:rPr>
              <w:fldChar w:fldCharType="begin"/>
            </w:r>
            <w:r w:rsidR="00046A8A" w:rsidRPr="00046A8A">
              <w:rPr>
                <w:rFonts w:asciiTheme="majorHAnsi" w:hAnsiTheme="majorHAnsi"/>
                <w:noProof/>
                <w:webHidden/>
              </w:rPr>
              <w:instrText xml:space="preserve"> PAGEREF _Toc346108599 \h </w:instrText>
            </w:r>
            <w:r w:rsidR="00046A8A" w:rsidRPr="00046A8A">
              <w:rPr>
                <w:rFonts w:asciiTheme="majorHAnsi" w:hAnsiTheme="majorHAnsi"/>
                <w:noProof/>
                <w:webHidden/>
              </w:rPr>
            </w:r>
            <w:r w:rsidR="00046A8A" w:rsidRPr="00046A8A">
              <w:rPr>
                <w:rFonts w:asciiTheme="majorHAnsi" w:hAnsiTheme="majorHAnsi"/>
                <w:noProof/>
                <w:webHidden/>
              </w:rPr>
              <w:fldChar w:fldCharType="separate"/>
            </w:r>
            <w:r w:rsidR="00B07C37">
              <w:rPr>
                <w:rFonts w:asciiTheme="majorHAnsi" w:hAnsiTheme="majorHAnsi"/>
                <w:noProof/>
                <w:webHidden/>
              </w:rPr>
              <w:t>6</w:t>
            </w:r>
            <w:r w:rsidR="00046A8A" w:rsidRPr="00046A8A">
              <w:rPr>
                <w:rFonts w:asciiTheme="majorHAnsi" w:hAnsiTheme="majorHAnsi"/>
                <w:noProof/>
                <w:webHidden/>
              </w:rPr>
              <w:fldChar w:fldCharType="end"/>
            </w:r>
          </w:hyperlink>
          <w:r w:rsidR="00B07C37">
            <w:rPr>
              <w:rFonts w:asciiTheme="majorHAnsi" w:hAnsiTheme="majorHAnsi"/>
              <w:noProof/>
            </w:rPr>
            <w:t>-7</w:t>
          </w:r>
        </w:p>
        <w:p w:rsidR="00046A8A" w:rsidRPr="00046A8A" w:rsidRDefault="00905D21">
          <w:pPr>
            <w:pStyle w:val="TOC1"/>
            <w:tabs>
              <w:tab w:val="right" w:leader="dot" w:pos="9350"/>
            </w:tabs>
            <w:rPr>
              <w:rFonts w:asciiTheme="majorHAnsi" w:eastAsiaTheme="minorEastAsia" w:hAnsiTheme="majorHAnsi"/>
              <w:noProof/>
            </w:rPr>
          </w:pPr>
          <w:hyperlink w:anchor="_Toc346108600" w:history="1">
            <w:r w:rsidR="00046A8A" w:rsidRPr="00046A8A">
              <w:rPr>
                <w:rStyle w:val="Hyperlink"/>
                <w:rFonts w:asciiTheme="majorHAnsi" w:eastAsiaTheme="majorEastAsia" w:hAnsiTheme="majorHAnsi" w:cstheme="majorBidi"/>
                <w:b/>
                <w:bCs/>
                <w:noProof/>
              </w:rPr>
              <w:t>STAFF CAPACITY BUILDING</w:t>
            </w:r>
            <w:r w:rsidR="00046A8A" w:rsidRPr="00046A8A">
              <w:rPr>
                <w:rFonts w:asciiTheme="majorHAnsi" w:hAnsiTheme="majorHAnsi"/>
                <w:noProof/>
                <w:webHidden/>
              </w:rPr>
              <w:tab/>
            </w:r>
            <w:r w:rsidR="00B07C37">
              <w:rPr>
                <w:rFonts w:asciiTheme="majorHAnsi" w:hAnsiTheme="majorHAnsi"/>
                <w:noProof/>
                <w:webHidden/>
              </w:rPr>
              <w:t>8-9</w:t>
            </w:r>
          </w:hyperlink>
        </w:p>
        <w:p w:rsidR="00046A8A" w:rsidRPr="00046A8A" w:rsidRDefault="00905D21">
          <w:pPr>
            <w:pStyle w:val="TOC1"/>
            <w:tabs>
              <w:tab w:val="right" w:leader="dot" w:pos="9350"/>
            </w:tabs>
            <w:rPr>
              <w:rFonts w:asciiTheme="majorHAnsi" w:eastAsiaTheme="minorEastAsia" w:hAnsiTheme="majorHAnsi"/>
              <w:noProof/>
            </w:rPr>
          </w:pPr>
          <w:hyperlink w:anchor="_Toc346108601" w:history="1">
            <w:r w:rsidR="00046A8A" w:rsidRPr="00046A8A">
              <w:rPr>
                <w:rStyle w:val="Hyperlink"/>
                <w:rFonts w:asciiTheme="majorHAnsi" w:hAnsiTheme="majorHAnsi"/>
                <w:noProof/>
              </w:rPr>
              <w:t>PUBLIC AWARENESS</w:t>
            </w:r>
            <w:r w:rsidR="00046A8A" w:rsidRPr="00046A8A">
              <w:rPr>
                <w:rFonts w:asciiTheme="majorHAnsi" w:hAnsiTheme="majorHAnsi"/>
                <w:noProof/>
                <w:webHidden/>
              </w:rPr>
              <w:tab/>
            </w:r>
            <w:r w:rsidR="00B07C37">
              <w:rPr>
                <w:rFonts w:asciiTheme="majorHAnsi" w:hAnsiTheme="majorHAnsi"/>
                <w:noProof/>
                <w:webHidden/>
              </w:rPr>
              <w:t>10</w:t>
            </w:r>
          </w:hyperlink>
        </w:p>
        <w:p w:rsidR="00046A8A" w:rsidRPr="00046A8A" w:rsidRDefault="00905D21">
          <w:pPr>
            <w:pStyle w:val="TOC2"/>
            <w:tabs>
              <w:tab w:val="right" w:leader="dot" w:pos="9350"/>
            </w:tabs>
            <w:rPr>
              <w:rFonts w:asciiTheme="majorHAnsi" w:eastAsiaTheme="minorEastAsia" w:hAnsiTheme="majorHAnsi"/>
              <w:noProof/>
            </w:rPr>
          </w:pPr>
          <w:hyperlink w:anchor="_Toc346108602" w:history="1">
            <w:r w:rsidR="00046A8A" w:rsidRPr="00046A8A">
              <w:rPr>
                <w:rStyle w:val="Hyperlink"/>
                <w:rFonts w:asciiTheme="majorHAnsi" w:hAnsiTheme="majorHAnsi"/>
                <w:noProof/>
              </w:rPr>
              <w:t>Public Awareness Seminars/Events</w:t>
            </w:r>
            <w:r w:rsidR="00046A8A" w:rsidRPr="00046A8A">
              <w:rPr>
                <w:rFonts w:asciiTheme="majorHAnsi" w:hAnsiTheme="majorHAnsi"/>
                <w:noProof/>
                <w:webHidden/>
              </w:rPr>
              <w:tab/>
            </w:r>
            <w:r w:rsidR="00B07C37">
              <w:rPr>
                <w:rFonts w:asciiTheme="majorHAnsi" w:hAnsiTheme="majorHAnsi"/>
                <w:noProof/>
                <w:webHidden/>
              </w:rPr>
              <w:t>10</w:t>
            </w:r>
          </w:hyperlink>
        </w:p>
        <w:p w:rsidR="00046A8A" w:rsidRPr="00046A8A" w:rsidRDefault="00905D21">
          <w:pPr>
            <w:pStyle w:val="TOC2"/>
            <w:tabs>
              <w:tab w:val="right" w:leader="dot" w:pos="9350"/>
            </w:tabs>
            <w:rPr>
              <w:rFonts w:asciiTheme="majorHAnsi" w:eastAsiaTheme="minorEastAsia" w:hAnsiTheme="majorHAnsi"/>
              <w:noProof/>
            </w:rPr>
          </w:pPr>
          <w:hyperlink w:anchor="_Toc346108603" w:history="1">
            <w:r w:rsidR="00046A8A" w:rsidRPr="00046A8A">
              <w:rPr>
                <w:rStyle w:val="Hyperlink"/>
                <w:rFonts w:asciiTheme="majorHAnsi" w:hAnsiTheme="majorHAnsi"/>
                <w:noProof/>
              </w:rPr>
              <w:t>Knowledge Products</w:t>
            </w:r>
            <w:r w:rsidR="00046A8A" w:rsidRPr="00046A8A">
              <w:rPr>
                <w:rFonts w:asciiTheme="majorHAnsi" w:hAnsiTheme="majorHAnsi"/>
                <w:noProof/>
                <w:webHidden/>
              </w:rPr>
              <w:tab/>
            </w:r>
            <w:r w:rsidR="00B07C37">
              <w:rPr>
                <w:rFonts w:asciiTheme="majorHAnsi" w:hAnsiTheme="majorHAnsi"/>
                <w:noProof/>
                <w:webHidden/>
              </w:rPr>
              <w:t>11</w:t>
            </w:r>
          </w:hyperlink>
        </w:p>
        <w:p w:rsidR="00046A8A" w:rsidRPr="00046A8A" w:rsidRDefault="00905D21">
          <w:pPr>
            <w:pStyle w:val="TOC1"/>
            <w:tabs>
              <w:tab w:val="right" w:leader="dot" w:pos="9350"/>
            </w:tabs>
            <w:rPr>
              <w:rFonts w:asciiTheme="majorHAnsi" w:eastAsiaTheme="minorEastAsia" w:hAnsiTheme="majorHAnsi"/>
              <w:noProof/>
            </w:rPr>
          </w:pPr>
          <w:hyperlink w:anchor="_Toc346108604" w:history="1">
            <w:r w:rsidR="00046A8A" w:rsidRPr="00046A8A">
              <w:rPr>
                <w:rStyle w:val="Hyperlink"/>
                <w:rFonts w:asciiTheme="majorHAnsi" w:hAnsiTheme="majorHAnsi"/>
                <w:noProof/>
              </w:rPr>
              <w:t>Expected Achievements of the Competition and Consumer Affairs Commission for 2013</w:t>
            </w:r>
            <w:r w:rsidR="00046A8A" w:rsidRPr="00046A8A">
              <w:rPr>
                <w:rFonts w:asciiTheme="majorHAnsi" w:hAnsiTheme="majorHAnsi"/>
                <w:noProof/>
                <w:webHidden/>
              </w:rPr>
              <w:tab/>
            </w:r>
            <w:r w:rsidR="00B07C37">
              <w:rPr>
                <w:rFonts w:asciiTheme="majorHAnsi" w:hAnsiTheme="majorHAnsi"/>
                <w:noProof/>
                <w:webHidden/>
              </w:rPr>
              <w:t>11</w:t>
            </w:r>
          </w:hyperlink>
        </w:p>
        <w:p w:rsidR="00B07C37" w:rsidRDefault="004342DA" w:rsidP="00B07C37">
          <w:pPr>
            <w:spacing w:after="97"/>
            <w:ind w:left="-5"/>
          </w:pPr>
          <w:r w:rsidRPr="00046A8A">
            <w:rPr>
              <w:rFonts w:asciiTheme="majorHAnsi" w:hAnsiTheme="majorHAnsi"/>
              <w:b/>
              <w:bCs/>
              <w:noProof/>
            </w:rPr>
            <w:fldChar w:fldCharType="end"/>
          </w:r>
          <w:r w:rsidR="00B07C37" w:rsidRPr="00B07C37">
            <w:t xml:space="preserve"> </w:t>
          </w:r>
          <w:r w:rsidR="00B07C37">
            <w:t>Statement of audited Accounts January- December 2013 ......................................................... …</w:t>
          </w:r>
          <w:r w:rsidR="00B07C37">
            <w:t>…………11</w:t>
          </w:r>
          <w:r w:rsidR="00B07C37">
            <w:rPr>
              <w:rFonts w:ascii="Calibri" w:eastAsia="Calibri" w:hAnsi="Calibri" w:cs="Calibri"/>
            </w:rPr>
            <w:t xml:space="preserve"> </w:t>
          </w:r>
        </w:p>
        <w:p w:rsidR="004342DA" w:rsidRPr="00046A8A" w:rsidRDefault="00905D21">
          <w:pPr>
            <w:rPr>
              <w:rFonts w:asciiTheme="majorHAnsi" w:hAnsiTheme="majorHAnsi"/>
            </w:rPr>
          </w:pPr>
        </w:p>
      </w:sdtContent>
    </w:sdt>
    <w:p w:rsidR="004342DA" w:rsidRPr="004342DA" w:rsidRDefault="004342DA" w:rsidP="00993532">
      <w:pPr>
        <w:pStyle w:val="Heading1"/>
      </w:pPr>
    </w:p>
    <w:p w:rsidR="004342DA" w:rsidRDefault="004342DA">
      <w:pPr>
        <w:rPr>
          <w:rFonts w:asciiTheme="majorHAnsi" w:eastAsiaTheme="majorEastAsia" w:hAnsiTheme="majorHAnsi" w:cstheme="majorBidi"/>
          <w:b/>
          <w:bCs/>
          <w:color w:val="365F91" w:themeColor="accent1" w:themeShade="BF"/>
          <w:sz w:val="28"/>
          <w:szCs w:val="28"/>
        </w:rPr>
      </w:pPr>
      <w:r>
        <w:br w:type="page"/>
      </w:r>
    </w:p>
    <w:p w:rsidR="00993532" w:rsidRDefault="00993532" w:rsidP="00993532">
      <w:pPr>
        <w:pStyle w:val="Heading1"/>
      </w:pPr>
      <w:bookmarkStart w:id="1" w:name="_Toc346108588"/>
      <w:r w:rsidRPr="006338E5">
        <w:lastRenderedPageBreak/>
        <w:t>STAFF</w:t>
      </w:r>
      <w:r>
        <w:t xml:space="preserve"> RECRUITMENT</w:t>
      </w:r>
      <w:bookmarkEnd w:id="0"/>
      <w:bookmarkEnd w:id="1"/>
    </w:p>
    <w:p w:rsidR="006456C1" w:rsidRDefault="00993532" w:rsidP="00993532">
      <w:pPr>
        <w:rPr>
          <w:rFonts w:asciiTheme="majorHAnsi" w:hAnsiTheme="majorHAnsi"/>
        </w:rPr>
      </w:pPr>
      <w:r w:rsidRPr="00993532">
        <w:rPr>
          <w:rFonts w:asciiTheme="majorHAnsi" w:hAnsiTheme="majorHAnsi"/>
        </w:rPr>
        <w:t>The Competition and Consumer Affairs Commission has been successful in staffing its Secretariat with highly qualified technical staff.</w:t>
      </w:r>
      <w:r>
        <w:rPr>
          <w:rFonts w:asciiTheme="majorHAnsi" w:hAnsiTheme="majorHAnsi"/>
        </w:rPr>
        <w:t xml:space="preserve"> </w:t>
      </w:r>
      <w:r w:rsidR="006456C1">
        <w:rPr>
          <w:rFonts w:asciiTheme="majorHAnsi" w:hAnsiTheme="majorHAnsi"/>
        </w:rPr>
        <w:t xml:space="preserve"> During 2012 the Secretariat recruited a Legal Officer, Economist and Financial Officer, the latter two officers replacing officers that previously held such positions.</w:t>
      </w:r>
    </w:p>
    <w:p w:rsidR="006456C1" w:rsidRDefault="006456C1" w:rsidP="006456C1">
      <w:pPr>
        <w:pStyle w:val="Heading1"/>
        <w:rPr>
          <w:rFonts w:eastAsia="Times New Roman"/>
        </w:rPr>
      </w:pPr>
      <w:bookmarkStart w:id="2" w:name="_Toc346108589"/>
      <w:r>
        <w:rPr>
          <w:rFonts w:eastAsia="Times New Roman"/>
        </w:rPr>
        <w:t>COMMISSIONERS</w:t>
      </w:r>
      <w:bookmarkEnd w:id="2"/>
    </w:p>
    <w:p w:rsidR="006456C1" w:rsidRDefault="006456C1" w:rsidP="006456C1">
      <w:pPr>
        <w:rPr>
          <w:rFonts w:asciiTheme="majorHAnsi" w:hAnsiTheme="majorHAnsi"/>
        </w:rPr>
      </w:pPr>
      <w:r w:rsidRPr="00227C8A">
        <w:rPr>
          <w:rFonts w:asciiTheme="majorHAnsi" w:hAnsiTheme="majorHAnsi"/>
        </w:rPr>
        <w:t xml:space="preserve">According to the Competition and </w:t>
      </w:r>
      <w:proofErr w:type="gramStart"/>
      <w:r w:rsidRPr="00227C8A">
        <w:rPr>
          <w:rFonts w:asciiTheme="majorHAnsi" w:hAnsiTheme="majorHAnsi"/>
        </w:rPr>
        <w:t>Fair Trading</w:t>
      </w:r>
      <w:proofErr w:type="gramEnd"/>
      <w:r w:rsidRPr="00227C8A">
        <w:rPr>
          <w:rFonts w:asciiTheme="majorHAnsi" w:hAnsiTheme="majorHAnsi"/>
        </w:rPr>
        <w:t xml:space="preserve"> Act, 2006 (CFTA) and the Consumer Affairs Act, 2011 (CAA) the Minister is to appoint five (5) Commissioners.</w:t>
      </w:r>
    </w:p>
    <w:p w:rsidR="00227C8A" w:rsidRDefault="00227C8A" w:rsidP="006456C1">
      <w:pPr>
        <w:rPr>
          <w:rFonts w:asciiTheme="majorHAnsi" w:hAnsiTheme="majorHAnsi"/>
        </w:rPr>
      </w:pPr>
      <w:r>
        <w:rPr>
          <w:rFonts w:asciiTheme="majorHAnsi" w:hAnsiTheme="majorHAnsi"/>
        </w:rPr>
        <w:t xml:space="preserve">Currently, there are four (4) Commissioners appointed to the Commission. Each Commissioner receives an Honorarium. </w:t>
      </w:r>
    </w:p>
    <w:p w:rsidR="00A870FE" w:rsidRPr="00227C8A" w:rsidRDefault="00A870FE" w:rsidP="006456C1">
      <w:pPr>
        <w:rPr>
          <w:rFonts w:asciiTheme="majorHAnsi" w:hAnsiTheme="majorHAnsi"/>
        </w:rPr>
      </w:pPr>
      <w:r>
        <w:rPr>
          <w:rFonts w:asciiTheme="majorHAnsi" w:hAnsiTheme="majorHAnsi"/>
        </w:rPr>
        <w:t>The Minister is in the process of having the Commissioners re-appointed and a fifth Commissioner appointed.</w:t>
      </w:r>
    </w:p>
    <w:p w:rsidR="0001219A" w:rsidRDefault="0001219A" w:rsidP="0001219A">
      <w:pPr>
        <w:pStyle w:val="Heading1"/>
      </w:pPr>
      <w:bookmarkStart w:id="3" w:name="_Toc346108590"/>
      <w:r>
        <w:t>CART FUND</w:t>
      </w:r>
      <w:bookmarkEnd w:id="3"/>
    </w:p>
    <w:p w:rsidR="0001219A" w:rsidRDefault="0001219A" w:rsidP="0001219A">
      <w:pPr>
        <w:jc w:val="both"/>
        <w:rPr>
          <w:rFonts w:asciiTheme="majorHAnsi" w:hAnsiTheme="majorHAnsi"/>
          <w:b/>
          <w:sz w:val="24"/>
          <w:szCs w:val="24"/>
        </w:rPr>
      </w:pPr>
      <w:r w:rsidRPr="0001219A">
        <w:rPr>
          <w:rFonts w:asciiTheme="majorHAnsi" w:hAnsiTheme="majorHAnsi"/>
          <w:sz w:val="24"/>
          <w:szCs w:val="24"/>
        </w:rPr>
        <w:t xml:space="preserve">In January 2010, the National Competitiveness Strategy Unit (NCSU) applied for and received grant financing from the CDB-administered </w:t>
      </w:r>
      <w:proofErr w:type="spellStart"/>
      <w:r w:rsidRPr="0001219A">
        <w:rPr>
          <w:rFonts w:asciiTheme="majorHAnsi" w:hAnsiTheme="majorHAnsi"/>
          <w:sz w:val="24"/>
          <w:szCs w:val="24"/>
        </w:rPr>
        <w:t>CARTFund</w:t>
      </w:r>
      <w:proofErr w:type="spellEnd"/>
      <w:r w:rsidRPr="0001219A">
        <w:rPr>
          <w:rFonts w:asciiTheme="majorHAnsi" w:hAnsiTheme="majorHAnsi"/>
          <w:sz w:val="24"/>
          <w:szCs w:val="24"/>
        </w:rPr>
        <w:t xml:space="preserve"> to establish and operationalize the Secretariat of the CCAC. Among other things, the Grant funds are to be used to engage consultants to provide technical assistance and training for the Secretariat of the Commission and Commissioners. The total funding available for project activities under this Grant is </w:t>
      </w:r>
      <w:r w:rsidRPr="0001219A">
        <w:rPr>
          <w:rFonts w:asciiTheme="majorHAnsi" w:hAnsiTheme="majorHAnsi"/>
          <w:b/>
          <w:sz w:val="24"/>
          <w:szCs w:val="24"/>
        </w:rPr>
        <w:t>US$ 746,225.</w:t>
      </w:r>
    </w:p>
    <w:p w:rsidR="00DA33A6" w:rsidRPr="00DA33A6" w:rsidRDefault="00DA33A6" w:rsidP="00DA33A6">
      <w:pPr>
        <w:jc w:val="both"/>
        <w:rPr>
          <w:rFonts w:asciiTheme="majorHAnsi" w:hAnsiTheme="majorHAnsi"/>
          <w:sz w:val="24"/>
          <w:szCs w:val="24"/>
        </w:rPr>
      </w:pPr>
      <w:r w:rsidRPr="00DA33A6">
        <w:rPr>
          <w:rFonts w:asciiTheme="majorHAnsi" w:hAnsiTheme="majorHAnsi"/>
          <w:sz w:val="24"/>
          <w:szCs w:val="24"/>
        </w:rPr>
        <w:t xml:space="preserve">In January 2012, the Government of Guyana applied to the CDB for an extension of the project execution period given that the current deadline was February 2012 and that most of the project activities had not yet commenced. An extension until </w:t>
      </w:r>
      <w:r w:rsidRPr="00DA33A6">
        <w:rPr>
          <w:rFonts w:asciiTheme="majorHAnsi" w:hAnsiTheme="majorHAnsi"/>
          <w:b/>
          <w:sz w:val="24"/>
          <w:szCs w:val="24"/>
        </w:rPr>
        <w:t>August 31</w:t>
      </w:r>
      <w:r w:rsidRPr="00DA33A6">
        <w:rPr>
          <w:rFonts w:asciiTheme="majorHAnsi" w:hAnsiTheme="majorHAnsi"/>
          <w:b/>
          <w:sz w:val="24"/>
          <w:szCs w:val="24"/>
          <w:vertAlign w:val="superscript"/>
        </w:rPr>
        <w:t>st</w:t>
      </w:r>
      <w:r w:rsidRPr="00DA33A6">
        <w:rPr>
          <w:rFonts w:asciiTheme="majorHAnsi" w:hAnsiTheme="majorHAnsi"/>
          <w:b/>
          <w:sz w:val="24"/>
          <w:szCs w:val="24"/>
        </w:rPr>
        <w:t xml:space="preserve"> 2013</w:t>
      </w:r>
      <w:r w:rsidRPr="00DA33A6">
        <w:rPr>
          <w:rFonts w:asciiTheme="majorHAnsi" w:hAnsiTheme="majorHAnsi"/>
          <w:sz w:val="24"/>
          <w:szCs w:val="24"/>
        </w:rPr>
        <w:t xml:space="preserve"> was subsequently granted by way of letter to the Hon. Minister of Finance dated January 27</w:t>
      </w:r>
      <w:r w:rsidRPr="00DA33A6">
        <w:rPr>
          <w:rFonts w:asciiTheme="majorHAnsi" w:hAnsiTheme="majorHAnsi"/>
          <w:sz w:val="24"/>
          <w:szCs w:val="24"/>
          <w:vertAlign w:val="superscript"/>
        </w:rPr>
        <w:t>th</w:t>
      </w:r>
      <w:r w:rsidRPr="00DA33A6">
        <w:rPr>
          <w:rFonts w:asciiTheme="majorHAnsi" w:hAnsiTheme="majorHAnsi"/>
          <w:sz w:val="24"/>
          <w:szCs w:val="24"/>
        </w:rPr>
        <w:t xml:space="preserve"> 2012. </w:t>
      </w:r>
    </w:p>
    <w:p w:rsidR="0001219A" w:rsidRDefault="0001219A" w:rsidP="0001219A">
      <w:pPr>
        <w:pStyle w:val="Heading1"/>
      </w:pPr>
      <w:bookmarkStart w:id="4" w:name="_Toc340808239"/>
      <w:bookmarkStart w:id="5" w:name="_Toc346108591"/>
      <w:r w:rsidRPr="006338E5">
        <w:t>TECHNICAL ASSISTANCE FOR THE CCAC</w:t>
      </w:r>
      <w:bookmarkEnd w:id="4"/>
      <w:bookmarkEnd w:id="5"/>
    </w:p>
    <w:p w:rsidR="00993532" w:rsidRPr="00993532" w:rsidRDefault="00993532" w:rsidP="00993532">
      <w:pPr>
        <w:jc w:val="both"/>
        <w:rPr>
          <w:rFonts w:asciiTheme="majorHAnsi" w:hAnsiTheme="majorHAnsi"/>
          <w:sz w:val="24"/>
          <w:szCs w:val="24"/>
        </w:rPr>
      </w:pPr>
      <w:r w:rsidRPr="00993532">
        <w:rPr>
          <w:rFonts w:asciiTheme="majorHAnsi" w:hAnsiTheme="majorHAnsi"/>
          <w:sz w:val="24"/>
          <w:szCs w:val="24"/>
        </w:rPr>
        <w:t xml:space="preserve">A major component under the Project is for the local staff of Commission to benefit from training and capacity building by foreign experts in the fields of both competition policy and consumer affairs. </w:t>
      </w:r>
    </w:p>
    <w:p w:rsidR="00993532" w:rsidRPr="00993532" w:rsidRDefault="00993532" w:rsidP="00993532">
      <w:pPr>
        <w:jc w:val="both"/>
        <w:rPr>
          <w:rFonts w:asciiTheme="majorHAnsi" w:hAnsiTheme="majorHAnsi"/>
          <w:sz w:val="24"/>
          <w:szCs w:val="24"/>
        </w:rPr>
      </w:pPr>
      <w:r w:rsidRPr="00993532">
        <w:rPr>
          <w:rFonts w:asciiTheme="majorHAnsi" w:hAnsiTheme="majorHAnsi"/>
          <w:sz w:val="24"/>
          <w:szCs w:val="24"/>
        </w:rPr>
        <w:t xml:space="preserve">Following consultations with the CDB, </w:t>
      </w:r>
      <w:r w:rsidRPr="00993532">
        <w:rPr>
          <w:rFonts w:asciiTheme="majorHAnsi" w:hAnsiTheme="majorHAnsi"/>
          <w:b/>
          <w:sz w:val="24"/>
          <w:szCs w:val="24"/>
        </w:rPr>
        <w:t xml:space="preserve">it was agreed that the local senior staff </w:t>
      </w:r>
      <w:r w:rsidR="005F7B81">
        <w:rPr>
          <w:rFonts w:asciiTheme="majorHAnsi" w:hAnsiTheme="majorHAnsi"/>
          <w:b/>
          <w:sz w:val="24"/>
          <w:szCs w:val="24"/>
        </w:rPr>
        <w:t>would</w:t>
      </w:r>
      <w:r w:rsidRPr="00993532">
        <w:rPr>
          <w:rFonts w:asciiTheme="majorHAnsi" w:hAnsiTheme="majorHAnsi"/>
          <w:b/>
          <w:sz w:val="24"/>
          <w:szCs w:val="24"/>
        </w:rPr>
        <w:t xml:space="preserve"> be supported by the following foreign consultant positions</w:t>
      </w:r>
      <w:r w:rsidRPr="00993532">
        <w:rPr>
          <w:rFonts w:asciiTheme="majorHAnsi" w:hAnsiTheme="majorHAnsi"/>
          <w:sz w:val="24"/>
          <w:szCs w:val="24"/>
        </w:rPr>
        <w:t>:</w:t>
      </w:r>
    </w:p>
    <w:p w:rsidR="00993532" w:rsidRPr="00993532" w:rsidRDefault="00993532" w:rsidP="00993532">
      <w:pPr>
        <w:pStyle w:val="ListParagraph"/>
        <w:numPr>
          <w:ilvl w:val="0"/>
          <w:numId w:val="1"/>
        </w:numPr>
        <w:jc w:val="both"/>
        <w:rPr>
          <w:rFonts w:asciiTheme="majorHAnsi" w:hAnsiTheme="majorHAnsi"/>
          <w:sz w:val="24"/>
          <w:szCs w:val="24"/>
        </w:rPr>
      </w:pPr>
      <w:r w:rsidRPr="00993532">
        <w:rPr>
          <w:rFonts w:asciiTheme="majorHAnsi" w:hAnsiTheme="majorHAnsi"/>
          <w:sz w:val="24"/>
          <w:szCs w:val="24"/>
        </w:rPr>
        <w:t>Lead Technical Adviser</w:t>
      </w:r>
    </w:p>
    <w:p w:rsidR="00993532" w:rsidRPr="00993532" w:rsidRDefault="00993532" w:rsidP="00993532">
      <w:pPr>
        <w:pStyle w:val="ListParagraph"/>
        <w:numPr>
          <w:ilvl w:val="0"/>
          <w:numId w:val="1"/>
        </w:numPr>
        <w:jc w:val="both"/>
        <w:rPr>
          <w:rFonts w:asciiTheme="majorHAnsi" w:hAnsiTheme="majorHAnsi"/>
          <w:sz w:val="24"/>
          <w:szCs w:val="24"/>
        </w:rPr>
      </w:pPr>
      <w:r w:rsidRPr="00993532">
        <w:rPr>
          <w:rFonts w:asciiTheme="majorHAnsi" w:hAnsiTheme="majorHAnsi"/>
          <w:sz w:val="24"/>
          <w:szCs w:val="24"/>
        </w:rPr>
        <w:t>Competition Policy Adviser</w:t>
      </w:r>
    </w:p>
    <w:p w:rsidR="00993532" w:rsidRPr="00993532" w:rsidRDefault="00993532" w:rsidP="00993532">
      <w:pPr>
        <w:pStyle w:val="ListParagraph"/>
        <w:numPr>
          <w:ilvl w:val="0"/>
          <w:numId w:val="1"/>
        </w:numPr>
        <w:jc w:val="both"/>
        <w:rPr>
          <w:rFonts w:asciiTheme="majorHAnsi" w:hAnsiTheme="majorHAnsi"/>
          <w:sz w:val="24"/>
          <w:szCs w:val="24"/>
        </w:rPr>
      </w:pPr>
      <w:r w:rsidRPr="00993532">
        <w:rPr>
          <w:rFonts w:asciiTheme="majorHAnsi" w:hAnsiTheme="majorHAnsi"/>
          <w:sz w:val="24"/>
          <w:szCs w:val="24"/>
        </w:rPr>
        <w:lastRenderedPageBreak/>
        <w:t>Consumer Affairs Adviser</w:t>
      </w:r>
    </w:p>
    <w:p w:rsidR="00993532" w:rsidRPr="00993532" w:rsidRDefault="00993532" w:rsidP="00993532">
      <w:pPr>
        <w:ind w:left="360"/>
        <w:jc w:val="both"/>
        <w:rPr>
          <w:rFonts w:asciiTheme="majorHAnsi" w:hAnsiTheme="majorHAnsi"/>
          <w:sz w:val="24"/>
          <w:szCs w:val="24"/>
        </w:rPr>
      </w:pPr>
      <w:r w:rsidRPr="00993532">
        <w:rPr>
          <w:rFonts w:asciiTheme="majorHAnsi" w:hAnsiTheme="majorHAnsi"/>
          <w:sz w:val="24"/>
          <w:szCs w:val="24"/>
        </w:rPr>
        <w:t xml:space="preserve">These positions would be paired with their respective local counterpart for the purposes of training and mentoring. It is expected that these consultants will provide their services in the form of </w:t>
      </w:r>
      <w:proofErr w:type="gramStart"/>
      <w:r w:rsidRPr="00993532">
        <w:rPr>
          <w:rFonts w:asciiTheme="majorHAnsi" w:hAnsiTheme="majorHAnsi"/>
          <w:sz w:val="24"/>
          <w:szCs w:val="24"/>
        </w:rPr>
        <w:t>short term</w:t>
      </w:r>
      <w:proofErr w:type="gramEnd"/>
      <w:r w:rsidRPr="00993532">
        <w:rPr>
          <w:rFonts w:asciiTheme="majorHAnsi" w:hAnsiTheme="majorHAnsi"/>
          <w:sz w:val="24"/>
          <w:szCs w:val="24"/>
        </w:rPr>
        <w:t xml:space="preserve"> consultancies over an intermittent period. These positions will be funded with proceeds from the CART Grant. These positions were advertised internationally and applications closed on </w:t>
      </w:r>
      <w:r w:rsidRPr="00993532">
        <w:rPr>
          <w:rFonts w:asciiTheme="majorHAnsi" w:hAnsiTheme="majorHAnsi"/>
          <w:b/>
          <w:sz w:val="24"/>
          <w:szCs w:val="24"/>
        </w:rPr>
        <w:t>July 1</w:t>
      </w:r>
      <w:r w:rsidRPr="00993532">
        <w:rPr>
          <w:rFonts w:asciiTheme="majorHAnsi" w:hAnsiTheme="majorHAnsi"/>
          <w:b/>
          <w:sz w:val="24"/>
          <w:szCs w:val="24"/>
          <w:vertAlign w:val="superscript"/>
        </w:rPr>
        <w:t>st</w:t>
      </w:r>
      <w:r w:rsidRPr="00993532">
        <w:rPr>
          <w:rFonts w:asciiTheme="majorHAnsi" w:hAnsiTheme="majorHAnsi"/>
          <w:b/>
          <w:sz w:val="24"/>
          <w:szCs w:val="24"/>
        </w:rPr>
        <w:t xml:space="preserve"> 2011. </w:t>
      </w:r>
      <w:r w:rsidRPr="00993532">
        <w:rPr>
          <w:rFonts w:asciiTheme="majorHAnsi" w:hAnsiTheme="majorHAnsi"/>
          <w:sz w:val="24"/>
          <w:szCs w:val="24"/>
        </w:rPr>
        <w:t xml:space="preserve">Following an evaluation by the NCSU and the CDB, </w:t>
      </w:r>
      <w:r w:rsidRPr="00993532">
        <w:rPr>
          <w:rFonts w:asciiTheme="majorHAnsi" w:hAnsiTheme="majorHAnsi"/>
          <w:b/>
          <w:sz w:val="24"/>
          <w:szCs w:val="24"/>
        </w:rPr>
        <w:t xml:space="preserve">Ms. K.L </w:t>
      </w:r>
      <w:proofErr w:type="spellStart"/>
      <w:r w:rsidRPr="00993532">
        <w:rPr>
          <w:rFonts w:asciiTheme="majorHAnsi" w:hAnsiTheme="majorHAnsi"/>
          <w:b/>
          <w:sz w:val="24"/>
          <w:szCs w:val="24"/>
        </w:rPr>
        <w:t>Menns</w:t>
      </w:r>
      <w:proofErr w:type="spellEnd"/>
      <w:r w:rsidRPr="00993532">
        <w:rPr>
          <w:rFonts w:asciiTheme="majorHAnsi" w:hAnsiTheme="majorHAnsi"/>
          <w:sz w:val="24"/>
          <w:szCs w:val="24"/>
        </w:rPr>
        <w:t xml:space="preserve"> (a Jamaican national) was recruited to work as the </w:t>
      </w:r>
      <w:r w:rsidRPr="00993532">
        <w:rPr>
          <w:rFonts w:asciiTheme="majorHAnsi" w:hAnsiTheme="majorHAnsi"/>
          <w:b/>
          <w:sz w:val="24"/>
          <w:szCs w:val="24"/>
        </w:rPr>
        <w:t>Competition Policy Adviser</w:t>
      </w:r>
      <w:r w:rsidRPr="00993532">
        <w:rPr>
          <w:rFonts w:asciiTheme="majorHAnsi" w:hAnsiTheme="majorHAnsi"/>
          <w:sz w:val="24"/>
          <w:szCs w:val="24"/>
        </w:rPr>
        <w:t xml:space="preserve">. The CDB granted its “No Objection” to the hiring of </w:t>
      </w:r>
      <w:proofErr w:type="spellStart"/>
      <w:r w:rsidRPr="00993532">
        <w:rPr>
          <w:rFonts w:asciiTheme="majorHAnsi" w:hAnsiTheme="majorHAnsi"/>
          <w:sz w:val="24"/>
          <w:szCs w:val="24"/>
        </w:rPr>
        <w:t>Menns</w:t>
      </w:r>
      <w:proofErr w:type="spellEnd"/>
      <w:r w:rsidRPr="00993532">
        <w:rPr>
          <w:rFonts w:asciiTheme="majorHAnsi" w:hAnsiTheme="majorHAnsi"/>
          <w:sz w:val="24"/>
          <w:szCs w:val="24"/>
        </w:rPr>
        <w:t xml:space="preserve">, her Work Plan and the draft contract in November 2011. The total contract price will be </w:t>
      </w:r>
      <w:r w:rsidRPr="00993532">
        <w:rPr>
          <w:rFonts w:asciiTheme="majorHAnsi" w:hAnsiTheme="majorHAnsi"/>
          <w:b/>
          <w:sz w:val="24"/>
          <w:szCs w:val="24"/>
        </w:rPr>
        <w:t>USD</w:t>
      </w:r>
      <w:r w:rsidRPr="00993532">
        <w:rPr>
          <w:rFonts w:asciiTheme="majorHAnsi" w:hAnsiTheme="majorHAnsi"/>
          <w:sz w:val="24"/>
          <w:szCs w:val="24"/>
        </w:rPr>
        <w:t xml:space="preserve"> </w:t>
      </w:r>
      <w:r w:rsidRPr="00993532">
        <w:rPr>
          <w:rFonts w:asciiTheme="majorHAnsi" w:hAnsiTheme="majorHAnsi"/>
          <w:b/>
          <w:sz w:val="24"/>
          <w:szCs w:val="24"/>
        </w:rPr>
        <w:t>$204,717</w:t>
      </w:r>
      <w:r w:rsidRPr="00993532">
        <w:rPr>
          <w:rFonts w:asciiTheme="majorHAnsi" w:hAnsiTheme="majorHAnsi"/>
          <w:sz w:val="24"/>
          <w:szCs w:val="24"/>
        </w:rPr>
        <w:t xml:space="preserve"> inclusive of air travel and per diem for days spent in Guyana. Ms. </w:t>
      </w:r>
      <w:proofErr w:type="spellStart"/>
      <w:r w:rsidRPr="00993532">
        <w:rPr>
          <w:rFonts w:asciiTheme="majorHAnsi" w:hAnsiTheme="majorHAnsi"/>
          <w:sz w:val="24"/>
          <w:szCs w:val="24"/>
        </w:rPr>
        <w:t>Menns</w:t>
      </w:r>
      <w:proofErr w:type="spellEnd"/>
      <w:r w:rsidRPr="00993532">
        <w:rPr>
          <w:rFonts w:asciiTheme="majorHAnsi" w:hAnsiTheme="majorHAnsi"/>
          <w:sz w:val="24"/>
          <w:szCs w:val="24"/>
        </w:rPr>
        <w:t xml:space="preserve"> signed her contract on February 8</w:t>
      </w:r>
      <w:r w:rsidRPr="00993532">
        <w:rPr>
          <w:rFonts w:asciiTheme="majorHAnsi" w:hAnsiTheme="majorHAnsi"/>
          <w:sz w:val="24"/>
          <w:szCs w:val="24"/>
          <w:vertAlign w:val="superscript"/>
        </w:rPr>
        <w:t>th</w:t>
      </w:r>
      <w:r w:rsidRPr="00993532">
        <w:rPr>
          <w:rFonts w:asciiTheme="majorHAnsi" w:hAnsiTheme="majorHAnsi"/>
          <w:sz w:val="24"/>
          <w:szCs w:val="24"/>
        </w:rPr>
        <w:t xml:space="preserve"> 2012 and began execution of her work plan on March 1</w:t>
      </w:r>
      <w:r w:rsidRPr="00993532">
        <w:rPr>
          <w:rFonts w:asciiTheme="majorHAnsi" w:hAnsiTheme="majorHAnsi"/>
          <w:sz w:val="24"/>
          <w:szCs w:val="24"/>
          <w:vertAlign w:val="superscript"/>
        </w:rPr>
        <w:t>st</w:t>
      </w:r>
      <w:r w:rsidRPr="00993532">
        <w:rPr>
          <w:rFonts w:asciiTheme="majorHAnsi" w:hAnsiTheme="majorHAnsi"/>
          <w:sz w:val="24"/>
          <w:szCs w:val="24"/>
        </w:rPr>
        <w:t xml:space="preserve"> 2012. She completed her first mission to Guyana from April 9</w:t>
      </w:r>
      <w:r w:rsidRPr="00993532">
        <w:rPr>
          <w:rFonts w:asciiTheme="majorHAnsi" w:hAnsiTheme="majorHAnsi"/>
          <w:sz w:val="24"/>
          <w:szCs w:val="24"/>
          <w:vertAlign w:val="superscript"/>
        </w:rPr>
        <w:t>th</w:t>
      </w:r>
      <w:r w:rsidRPr="00993532">
        <w:rPr>
          <w:rFonts w:asciiTheme="majorHAnsi" w:hAnsiTheme="majorHAnsi"/>
          <w:sz w:val="24"/>
          <w:szCs w:val="24"/>
        </w:rPr>
        <w:t xml:space="preserve"> – 20</w:t>
      </w:r>
      <w:r w:rsidRPr="00993532">
        <w:rPr>
          <w:rFonts w:asciiTheme="majorHAnsi" w:hAnsiTheme="majorHAnsi"/>
          <w:sz w:val="24"/>
          <w:szCs w:val="24"/>
          <w:vertAlign w:val="superscript"/>
        </w:rPr>
        <w:t>th</w:t>
      </w:r>
      <w:r w:rsidRPr="00993532">
        <w:rPr>
          <w:rFonts w:asciiTheme="majorHAnsi" w:hAnsiTheme="majorHAnsi"/>
          <w:sz w:val="24"/>
          <w:szCs w:val="24"/>
        </w:rPr>
        <w:t xml:space="preserve"> 2012. She completed her second mission from August 15-</w:t>
      </w:r>
      <w:r w:rsidR="0001219A">
        <w:rPr>
          <w:rFonts w:asciiTheme="majorHAnsi" w:hAnsiTheme="majorHAnsi"/>
          <w:sz w:val="24"/>
          <w:szCs w:val="24"/>
        </w:rPr>
        <w:t>28, 2012. She was expected to</w:t>
      </w:r>
      <w:r w:rsidRPr="00993532">
        <w:rPr>
          <w:rFonts w:asciiTheme="majorHAnsi" w:hAnsiTheme="majorHAnsi"/>
          <w:sz w:val="24"/>
          <w:szCs w:val="24"/>
        </w:rPr>
        <w:t xml:space="preserve"> </w:t>
      </w:r>
      <w:r w:rsidR="0001219A">
        <w:rPr>
          <w:rFonts w:asciiTheme="majorHAnsi" w:hAnsiTheme="majorHAnsi"/>
          <w:sz w:val="24"/>
          <w:szCs w:val="24"/>
        </w:rPr>
        <w:t>return</w:t>
      </w:r>
      <w:r w:rsidRPr="00993532">
        <w:rPr>
          <w:rFonts w:asciiTheme="majorHAnsi" w:hAnsiTheme="majorHAnsi"/>
          <w:sz w:val="24"/>
          <w:szCs w:val="24"/>
        </w:rPr>
        <w:t xml:space="preserve"> to Guyana on December 2</w:t>
      </w:r>
      <w:r w:rsidRPr="00993532">
        <w:rPr>
          <w:rFonts w:asciiTheme="majorHAnsi" w:hAnsiTheme="majorHAnsi"/>
          <w:sz w:val="24"/>
          <w:szCs w:val="24"/>
          <w:vertAlign w:val="superscript"/>
        </w:rPr>
        <w:t>nd</w:t>
      </w:r>
      <w:r w:rsidRPr="00993532">
        <w:rPr>
          <w:rFonts w:asciiTheme="majorHAnsi" w:hAnsiTheme="majorHAnsi"/>
          <w:sz w:val="24"/>
          <w:szCs w:val="24"/>
        </w:rPr>
        <w:t>, 2012 and stay until December 13</w:t>
      </w:r>
      <w:r w:rsidRPr="00993532">
        <w:rPr>
          <w:rFonts w:asciiTheme="majorHAnsi" w:hAnsiTheme="majorHAnsi"/>
          <w:sz w:val="24"/>
          <w:szCs w:val="24"/>
          <w:vertAlign w:val="superscript"/>
        </w:rPr>
        <w:t>th</w:t>
      </w:r>
      <w:r w:rsidR="0001219A">
        <w:rPr>
          <w:rFonts w:asciiTheme="majorHAnsi" w:hAnsiTheme="majorHAnsi"/>
          <w:sz w:val="24"/>
          <w:szCs w:val="24"/>
        </w:rPr>
        <w:t xml:space="preserve">, 2012, however given minor setbacks in the schedule, </w:t>
      </w:r>
      <w:proofErr w:type="spellStart"/>
      <w:r w:rsidR="0001219A">
        <w:rPr>
          <w:rFonts w:asciiTheme="majorHAnsi" w:hAnsiTheme="majorHAnsi"/>
          <w:sz w:val="24"/>
          <w:szCs w:val="24"/>
        </w:rPr>
        <w:t>Menns</w:t>
      </w:r>
      <w:proofErr w:type="spellEnd"/>
      <w:r w:rsidR="0001219A">
        <w:rPr>
          <w:rFonts w:asciiTheme="majorHAnsi" w:hAnsiTheme="majorHAnsi"/>
          <w:sz w:val="24"/>
          <w:szCs w:val="24"/>
        </w:rPr>
        <w:t xml:space="preserve">’ next mission will take place </w:t>
      </w:r>
      <w:r w:rsidR="00046A8A">
        <w:rPr>
          <w:rFonts w:asciiTheme="majorHAnsi" w:hAnsiTheme="majorHAnsi"/>
          <w:sz w:val="24"/>
          <w:szCs w:val="24"/>
        </w:rPr>
        <w:t>from January 17</w:t>
      </w:r>
      <w:r w:rsidR="00046A8A" w:rsidRPr="00046A8A">
        <w:rPr>
          <w:rFonts w:asciiTheme="majorHAnsi" w:hAnsiTheme="majorHAnsi"/>
          <w:sz w:val="24"/>
          <w:szCs w:val="24"/>
          <w:vertAlign w:val="superscript"/>
        </w:rPr>
        <w:t>th</w:t>
      </w:r>
      <w:r w:rsidR="00046A8A">
        <w:rPr>
          <w:rFonts w:asciiTheme="majorHAnsi" w:hAnsiTheme="majorHAnsi"/>
          <w:sz w:val="24"/>
          <w:szCs w:val="24"/>
        </w:rPr>
        <w:t xml:space="preserve"> through 28, 2013</w:t>
      </w:r>
      <w:r w:rsidR="0001219A">
        <w:rPr>
          <w:rFonts w:asciiTheme="majorHAnsi" w:hAnsiTheme="majorHAnsi"/>
          <w:sz w:val="24"/>
          <w:szCs w:val="24"/>
        </w:rPr>
        <w:t>.</w:t>
      </w:r>
    </w:p>
    <w:p w:rsidR="00993532" w:rsidRDefault="00993532" w:rsidP="00993532">
      <w:pPr>
        <w:ind w:left="360"/>
        <w:jc w:val="both"/>
        <w:rPr>
          <w:rFonts w:asciiTheme="majorHAnsi" w:hAnsiTheme="majorHAnsi"/>
          <w:sz w:val="24"/>
          <w:szCs w:val="24"/>
        </w:rPr>
      </w:pPr>
      <w:r w:rsidRPr="00993532">
        <w:rPr>
          <w:rFonts w:asciiTheme="majorHAnsi" w:hAnsiTheme="majorHAnsi"/>
          <w:sz w:val="24"/>
          <w:szCs w:val="24"/>
        </w:rPr>
        <w:t xml:space="preserve">Following evaluations for the position of Lead Technical Advisor (LTA), no suitable candidate was found. However, Mr. Massimiliano </w:t>
      </w:r>
      <w:proofErr w:type="spellStart"/>
      <w:r w:rsidRPr="00993532">
        <w:rPr>
          <w:rFonts w:asciiTheme="majorHAnsi" w:hAnsiTheme="majorHAnsi"/>
          <w:sz w:val="24"/>
          <w:szCs w:val="24"/>
        </w:rPr>
        <w:t>Gangi</w:t>
      </w:r>
      <w:proofErr w:type="spellEnd"/>
      <w:r w:rsidRPr="00993532">
        <w:rPr>
          <w:rFonts w:asciiTheme="majorHAnsi" w:hAnsiTheme="majorHAnsi"/>
          <w:sz w:val="24"/>
          <w:szCs w:val="24"/>
        </w:rPr>
        <w:t xml:space="preserve">, an Italian National, was found to be a suitable candidate for the Consumer Affairs Advisor (CAA) position. It was also noted that Mr. </w:t>
      </w:r>
      <w:proofErr w:type="spellStart"/>
      <w:r w:rsidRPr="00993532">
        <w:rPr>
          <w:rFonts w:asciiTheme="majorHAnsi" w:hAnsiTheme="majorHAnsi"/>
          <w:sz w:val="24"/>
          <w:szCs w:val="24"/>
        </w:rPr>
        <w:t>Gangi</w:t>
      </w:r>
      <w:proofErr w:type="spellEnd"/>
      <w:r w:rsidRPr="00993532">
        <w:rPr>
          <w:rFonts w:asciiTheme="majorHAnsi" w:hAnsiTheme="majorHAnsi"/>
          <w:sz w:val="24"/>
          <w:szCs w:val="24"/>
        </w:rPr>
        <w:t xml:space="preserve"> was also suitably qualified to undertake the Lead Technical Advisor position as well. A decision was therefore taken to merge the LTA and the CAA positions into one consolidated Terms of Reference to be covered by one consultant. The CDB gave their formal “No Objection” to the merged TOR, the draft contract and the recommendation to hire Mr. </w:t>
      </w:r>
      <w:proofErr w:type="spellStart"/>
      <w:r w:rsidRPr="00993532">
        <w:rPr>
          <w:rFonts w:asciiTheme="majorHAnsi" w:hAnsiTheme="majorHAnsi"/>
          <w:sz w:val="24"/>
          <w:szCs w:val="24"/>
        </w:rPr>
        <w:t>Gangi</w:t>
      </w:r>
      <w:proofErr w:type="spellEnd"/>
      <w:r w:rsidRPr="00993532">
        <w:rPr>
          <w:rFonts w:asciiTheme="majorHAnsi" w:hAnsiTheme="majorHAnsi"/>
          <w:sz w:val="24"/>
          <w:szCs w:val="24"/>
        </w:rPr>
        <w:t xml:space="preserve"> on </w:t>
      </w:r>
      <w:r w:rsidRPr="00993532">
        <w:rPr>
          <w:rFonts w:asciiTheme="majorHAnsi" w:hAnsiTheme="majorHAnsi"/>
          <w:b/>
          <w:sz w:val="24"/>
          <w:szCs w:val="24"/>
        </w:rPr>
        <w:t>December 6</w:t>
      </w:r>
      <w:r w:rsidRPr="00993532">
        <w:rPr>
          <w:rFonts w:asciiTheme="majorHAnsi" w:hAnsiTheme="majorHAnsi"/>
          <w:b/>
          <w:sz w:val="24"/>
          <w:szCs w:val="24"/>
          <w:vertAlign w:val="superscript"/>
        </w:rPr>
        <w:t>th</w:t>
      </w:r>
      <w:r w:rsidRPr="00993532">
        <w:rPr>
          <w:rFonts w:asciiTheme="majorHAnsi" w:hAnsiTheme="majorHAnsi"/>
          <w:b/>
          <w:sz w:val="24"/>
          <w:szCs w:val="24"/>
        </w:rPr>
        <w:t xml:space="preserve"> 2011</w:t>
      </w:r>
      <w:r w:rsidRPr="00993532">
        <w:rPr>
          <w:rFonts w:asciiTheme="majorHAnsi" w:hAnsiTheme="majorHAnsi"/>
          <w:sz w:val="24"/>
          <w:szCs w:val="24"/>
        </w:rPr>
        <w:t xml:space="preserve">. The NCSU has since requested formal “No Objection” from the CDB to the draft negotiated contract of </w:t>
      </w:r>
      <w:r w:rsidRPr="00993532">
        <w:rPr>
          <w:rFonts w:asciiTheme="majorHAnsi" w:hAnsiTheme="majorHAnsi"/>
          <w:b/>
          <w:sz w:val="24"/>
          <w:szCs w:val="24"/>
        </w:rPr>
        <w:t xml:space="preserve">US$256,224 </w:t>
      </w:r>
      <w:r w:rsidRPr="00993532">
        <w:rPr>
          <w:rFonts w:asciiTheme="majorHAnsi" w:hAnsiTheme="majorHAnsi"/>
          <w:sz w:val="24"/>
          <w:szCs w:val="24"/>
        </w:rPr>
        <w:t xml:space="preserve">inclusive of air travel and per diem for days spent in Guyana. Mr. </w:t>
      </w:r>
      <w:proofErr w:type="spellStart"/>
      <w:r w:rsidRPr="00993532">
        <w:rPr>
          <w:rFonts w:asciiTheme="majorHAnsi" w:hAnsiTheme="majorHAnsi"/>
          <w:sz w:val="24"/>
          <w:szCs w:val="24"/>
        </w:rPr>
        <w:t>Gangi</w:t>
      </w:r>
      <w:proofErr w:type="spellEnd"/>
      <w:r w:rsidRPr="00993532">
        <w:rPr>
          <w:rFonts w:asciiTheme="majorHAnsi" w:hAnsiTheme="majorHAnsi"/>
          <w:sz w:val="24"/>
          <w:szCs w:val="24"/>
        </w:rPr>
        <w:t xml:space="preserve"> signed his contract on February 10</w:t>
      </w:r>
      <w:r w:rsidRPr="00993532">
        <w:rPr>
          <w:rFonts w:asciiTheme="majorHAnsi" w:hAnsiTheme="majorHAnsi"/>
          <w:sz w:val="24"/>
          <w:szCs w:val="24"/>
          <w:vertAlign w:val="superscript"/>
        </w:rPr>
        <w:t>th</w:t>
      </w:r>
      <w:r w:rsidRPr="00993532">
        <w:rPr>
          <w:rFonts w:asciiTheme="majorHAnsi" w:hAnsiTheme="majorHAnsi"/>
          <w:sz w:val="24"/>
          <w:szCs w:val="24"/>
        </w:rPr>
        <w:t xml:space="preserve"> 2012 and began execution of his work plan on March 1</w:t>
      </w:r>
      <w:r w:rsidRPr="00993532">
        <w:rPr>
          <w:rFonts w:asciiTheme="majorHAnsi" w:hAnsiTheme="majorHAnsi"/>
          <w:sz w:val="24"/>
          <w:szCs w:val="24"/>
          <w:vertAlign w:val="superscript"/>
        </w:rPr>
        <w:t>st</w:t>
      </w:r>
      <w:r w:rsidRPr="00993532">
        <w:rPr>
          <w:rFonts w:asciiTheme="majorHAnsi" w:hAnsiTheme="majorHAnsi"/>
          <w:sz w:val="24"/>
          <w:szCs w:val="24"/>
        </w:rPr>
        <w:t xml:space="preserve"> 2012. He completed his first mission in Guyana from March 26</w:t>
      </w:r>
      <w:r w:rsidRPr="00993532">
        <w:rPr>
          <w:rFonts w:asciiTheme="majorHAnsi" w:hAnsiTheme="majorHAnsi"/>
          <w:sz w:val="24"/>
          <w:szCs w:val="24"/>
          <w:vertAlign w:val="superscript"/>
        </w:rPr>
        <w:t>th</w:t>
      </w:r>
      <w:r w:rsidRPr="00993532">
        <w:rPr>
          <w:rFonts w:asciiTheme="majorHAnsi" w:hAnsiTheme="majorHAnsi"/>
          <w:sz w:val="24"/>
          <w:szCs w:val="24"/>
        </w:rPr>
        <w:t xml:space="preserve"> – April 14</w:t>
      </w:r>
      <w:r w:rsidRPr="00993532">
        <w:rPr>
          <w:rFonts w:asciiTheme="majorHAnsi" w:hAnsiTheme="majorHAnsi"/>
          <w:sz w:val="24"/>
          <w:szCs w:val="24"/>
          <w:vertAlign w:val="superscript"/>
        </w:rPr>
        <w:t>th</w:t>
      </w:r>
      <w:r w:rsidRPr="00993532">
        <w:rPr>
          <w:rFonts w:asciiTheme="majorHAnsi" w:hAnsiTheme="majorHAnsi"/>
          <w:sz w:val="24"/>
          <w:szCs w:val="24"/>
        </w:rPr>
        <w:t xml:space="preserve"> 2012 and his second mission from May 13</w:t>
      </w:r>
      <w:r w:rsidRPr="00993532">
        <w:rPr>
          <w:rFonts w:asciiTheme="majorHAnsi" w:hAnsiTheme="majorHAnsi"/>
          <w:sz w:val="24"/>
          <w:szCs w:val="24"/>
          <w:vertAlign w:val="superscript"/>
        </w:rPr>
        <w:t>th</w:t>
      </w:r>
      <w:r w:rsidRPr="00993532">
        <w:rPr>
          <w:rFonts w:asciiTheme="majorHAnsi" w:hAnsiTheme="majorHAnsi"/>
          <w:sz w:val="24"/>
          <w:szCs w:val="24"/>
        </w:rPr>
        <w:t xml:space="preserve"> – 26</w:t>
      </w:r>
      <w:r w:rsidRPr="00993532">
        <w:rPr>
          <w:rFonts w:asciiTheme="majorHAnsi" w:hAnsiTheme="majorHAnsi"/>
          <w:sz w:val="24"/>
          <w:szCs w:val="24"/>
          <w:vertAlign w:val="superscript"/>
        </w:rPr>
        <w:t>th</w:t>
      </w:r>
      <w:r w:rsidRPr="00993532">
        <w:rPr>
          <w:rFonts w:asciiTheme="majorHAnsi" w:hAnsiTheme="majorHAnsi"/>
          <w:sz w:val="24"/>
          <w:szCs w:val="24"/>
        </w:rPr>
        <w:t xml:space="preserve"> 2012. He completed his third mission from June 25 – July 6, 2012</w:t>
      </w:r>
      <w:r>
        <w:rPr>
          <w:rFonts w:asciiTheme="majorHAnsi" w:hAnsiTheme="majorHAnsi"/>
          <w:sz w:val="24"/>
          <w:szCs w:val="24"/>
        </w:rPr>
        <w:t xml:space="preserve">, </w:t>
      </w:r>
      <w:r w:rsidRPr="00993532">
        <w:rPr>
          <w:rFonts w:asciiTheme="majorHAnsi" w:hAnsiTheme="majorHAnsi"/>
          <w:sz w:val="24"/>
          <w:szCs w:val="24"/>
        </w:rPr>
        <w:t>fourth mission from S</w:t>
      </w:r>
      <w:r>
        <w:rPr>
          <w:rFonts w:asciiTheme="majorHAnsi" w:hAnsiTheme="majorHAnsi"/>
          <w:sz w:val="24"/>
          <w:szCs w:val="24"/>
        </w:rPr>
        <w:t>eptember 2- September 12, 20</w:t>
      </w:r>
      <w:r w:rsidR="00046A8A">
        <w:rPr>
          <w:rFonts w:asciiTheme="majorHAnsi" w:hAnsiTheme="majorHAnsi"/>
          <w:sz w:val="24"/>
          <w:szCs w:val="24"/>
        </w:rPr>
        <w:t xml:space="preserve">12, </w:t>
      </w:r>
      <w:r>
        <w:rPr>
          <w:rFonts w:asciiTheme="majorHAnsi" w:hAnsiTheme="majorHAnsi"/>
          <w:sz w:val="24"/>
          <w:szCs w:val="24"/>
        </w:rPr>
        <w:t>fifth mission from October 29</w:t>
      </w:r>
      <w:r w:rsidRPr="00993532">
        <w:rPr>
          <w:rFonts w:asciiTheme="majorHAnsi" w:hAnsiTheme="majorHAnsi"/>
          <w:sz w:val="24"/>
          <w:szCs w:val="24"/>
          <w:vertAlign w:val="superscript"/>
        </w:rPr>
        <w:t>th</w:t>
      </w:r>
      <w:r>
        <w:rPr>
          <w:rFonts w:asciiTheme="majorHAnsi" w:hAnsiTheme="majorHAnsi"/>
          <w:sz w:val="24"/>
          <w:szCs w:val="24"/>
        </w:rPr>
        <w:t xml:space="preserve"> through November 8</w:t>
      </w:r>
      <w:r w:rsidRPr="00993532">
        <w:rPr>
          <w:rFonts w:asciiTheme="majorHAnsi" w:hAnsiTheme="majorHAnsi"/>
          <w:sz w:val="24"/>
          <w:szCs w:val="24"/>
          <w:vertAlign w:val="superscript"/>
        </w:rPr>
        <w:t>th</w:t>
      </w:r>
      <w:r w:rsidR="00046A8A">
        <w:rPr>
          <w:rFonts w:asciiTheme="majorHAnsi" w:hAnsiTheme="majorHAnsi"/>
          <w:sz w:val="24"/>
          <w:szCs w:val="24"/>
        </w:rPr>
        <w:t>, 2012 and will complete his sixth mission on January 17</w:t>
      </w:r>
      <w:r w:rsidR="00046A8A" w:rsidRPr="00046A8A">
        <w:rPr>
          <w:rFonts w:asciiTheme="majorHAnsi" w:hAnsiTheme="majorHAnsi"/>
          <w:sz w:val="24"/>
          <w:szCs w:val="24"/>
          <w:vertAlign w:val="superscript"/>
        </w:rPr>
        <w:t>th</w:t>
      </w:r>
      <w:r w:rsidR="00046A8A">
        <w:rPr>
          <w:rFonts w:asciiTheme="majorHAnsi" w:hAnsiTheme="majorHAnsi"/>
          <w:sz w:val="24"/>
          <w:szCs w:val="24"/>
        </w:rPr>
        <w:t>, 2013 (having begun on January 3</w:t>
      </w:r>
      <w:r w:rsidR="00046A8A" w:rsidRPr="00046A8A">
        <w:rPr>
          <w:rFonts w:asciiTheme="majorHAnsi" w:hAnsiTheme="majorHAnsi"/>
          <w:sz w:val="24"/>
          <w:szCs w:val="24"/>
          <w:vertAlign w:val="superscript"/>
        </w:rPr>
        <w:t>rd</w:t>
      </w:r>
      <w:r w:rsidR="00046A8A">
        <w:rPr>
          <w:rFonts w:asciiTheme="majorHAnsi" w:hAnsiTheme="majorHAnsi"/>
          <w:sz w:val="24"/>
          <w:szCs w:val="24"/>
        </w:rPr>
        <w:t>, 2013).</w:t>
      </w:r>
    </w:p>
    <w:p w:rsidR="005F7B81" w:rsidRPr="006338E5" w:rsidRDefault="005F7B81" w:rsidP="00272BF6">
      <w:pPr>
        <w:pStyle w:val="Heading1"/>
        <w:tabs>
          <w:tab w:val="left" w:pos="810"/>
        </w:tabs>
      </w:pPr>
      <w:bookmarkStart w:id="6" w:name="_Toc340808244"/>
      <w:bookmarkStart w:id="7" w:name="_Toc346108592"/>
      <w:r>
        <w:t xml:space="preserve">OTHER </w:t>
      </w:r>
      <w:r w:rsidRPr="006338E5">
        <w:t>ACTIVITIES</w:t>
      </w:r>
      <w:r>
        <w:t xml:space="preserve"> COVERED BY GRANT AGREEMENT</w:t>
      </w:r>
      <w:bookmarkEnd w:id="6"/>
      <w:bookmarkEnd w:id="7"/>
    </w:p>
    <w:p w:rsidR="005F7B81" w:rsidRPr="007E3B9A" w:rsidRDefault="00272BF6" w:rsidP="00272BF6">
      <w:pPr>
        <w:tabs>
          <w:tab w:val="left" w:pos="810"/>
        </w:tabs>
        <w:ind w:left="288"/>
        <w:jc w:val="both"/>
        <w:rPr>
          <w:rFonts w:asciiTheme="majorHAnsi" w:hAnsiTheme="majorHAnsi"/>
          <w:sz w:val="24"/>
          <w:szCs w:val="24"/>
        </w:rPr>
      </w:pPr>
      <w:r w:rsidRPr="007E3B9A">
        <w:rPr>
          <w:rFonts w:asciiTheme="majorHAnsi" w:hAnsiTheme="majorHAnsi"/>
          <w:sz w:val="24"/>
          <w:szCs w:val="24"/>
        </w:rPr>
        <w:t xml:space="preserve"> </w:t>
      </w:r>
      <w:r w:rsidR="005F7B81" w:rsidRPr="007E3B9A">
        <w:rPr>
          <w:rFonts w:asciiTheme="majorHAnsi" w:hAnsiTheme="majorHAnsi"/>
          <w:sz w:val="24"/>
          <w:szCs w:val="24"/>
        </w:rPr>
        <w:t>In addition to the engagement of the two consultants, a number of other activities are to be undertaken under the CDB grant agreement including: (</w:t>
      </w:r>
      <w:proofErr w:type="spellStart"/>
      <w:r w:rsidR="005F7B81" w:rsidRPr="007E3B9A">
        <w:rPr>
          <w:rFonts w:asciiTheme="majorHAnsi" w:hAnsiTheme="majorHAnsi"/>
          <w:sz w:val="24"/>
          <w:szCs w:val="24"/>
        </w:rPr>
        <w:t>i</w:t>
      </w:r>
      <w:proofErr w:type="spellEnd"/>
      <w:r w:rsidR="005F7B81" w:rsidRPr="007E3B9A">
        <w:rPr>
          <w:rFonts w:asciiTheme="majorHAnsi" w:hAnsiTheme="majorHAnsi"/>
          <w:sz w:val="24"/>
          <w:szCs w:val="24"/>
        </w:rPr>
        <w:t xml:space="preserve">) procurement of a vehicle, (ii) design and implementation of a database, (iii) training and development activities for the staff as well as a wide range of stakeholders and (iv) public relations activities.  </w:t>
      </w:r>
    </w:p>
    <w:p w:rsidR="005F7B81" w:rsidRDefault="005F7B81" w:rsidP="00272BF6">
      <w:pPr>
        <w:tabs>
          <w:tab w:val="left" w:pos="810"/>
        </w:tabs>
        <w:ind w:left="720"/>
        <w:jc w:val="both"/>
        <w:rPr>
          <w:rFonts w:asciiTheme="majorHAnsi" w:hAnsiTheme="majorHAnsi"/>
          <w:sz w:val="24"/>
          <w:szCs w:val="24"/>
        </w:rPr>
      </w:pPr>
      <w:bookmarkStart w:id="8" w:name="_Toc340808245"/>
      <w:bookmarkStart w:id="9" w:name="_Toc346108593"/>
      <w:r w:rsidRPr="00D10F9A">
        <w:rPr>
          <w:rStyle w:val="Heading2Char"/>
        </w:rPr>
        <w:lastRenderedPageBreak/>
        <w:t>(</w:t>
      </w:r>
      <w:proofErr w:type="spellStart"/>
      <w:r w:rsidRPr="00D10F9A">
        <w:rPr>
          <w:rStyle w:val="Heading2Char"/>
        </w:rPr>
        <w:t>i</w:t>
      </w:r>
      <w:proofErr w:type="spellEnd"/>
      <w:r w:rsidRPr="00D10F9A">
        <w:rPr>
          <w:rStyle w:val="Heading2Char"/>
        </w:rPr>
        <w:t>) Procurement of a Vehicle</w:t>
      </w:r>
      <w:bookmarkEnd w:id="8"/>
      <w:bookmarkEnd w:id="9"/>
      <w:r>
        <w:rPr>
          <w:rFonts w:asciiTheme="majorHAnsi" w:hAnsiTheme="majorHAnsi"/>
          <w:sz w:val="24"/>
          <w:szCs w:val="24"/>
        </w:rPr>
        <w:t xml:space="preserve"> </w:t>
      </w:r>
    </w:p>
    <w:p w:rsidR="007E3B9A" w:rsidRPr="00046A8A" w:rsidRDefault="007E3B9A" w:rsidP="007E3B9A">
      <w:pPr>
        <w:tabs>
          <w:tab w:val="left" w:pos="810"/>
        </w:tabs>
        <w:ind w:left="720"/>
        <w:jc w:val="both"/>
        <w:rPr>
          <w:rFonts w:asciiTheme="majorHAnsi" w:hAnsiTheme="majorHAnsi"/>
        </w:rPr>
      </w:pPr>
      <w:r w:rsidRPr="00046A8A">
        <w:rPr>
          <w:rFonts w:asciiTheme="majorHAnsi" w:hAnsiTheme="majorHAnsi"/>
        </w:rPr>
        <w:t xml:space="preserve">The CDB granted its ‘no objection’ on May 16, 2012 to commence the procurement process to acquire a reconditioned vehicle for up to USD$27,000. The Support for Competitiveness </w:t>
      </w:r>
      <w:proofErr w:type="spellStart"/>
      <w:r w:rsidRPr="00046A8A">
        <w:rPr>
          <w:rFonts w:asciiTheme="majorHAnsi" w:hAnsiTheme="majorHAnsi"/>
        </w:rPr>
        <w:t>Programme</w:t>
      </w:r>
      <w:proofErr w:type="spellEnd"/>
      <w:r w:rsidRPr="00046A8A">
        <w:rPr>
          <w:rFonts w:asciiTheme="majorHAnsi" w:hAnsiTheme="majorHAnsi"/>
        </w:rPr>
        <w:t xml:space="preserve"> assisted in developing specifications for a SUV/Sedan for the Commission. The Commission sought tenders for a vehicle in June of 2012 and received no bids. As such a Request for Quotation was sent to nine known suppliers of motor vehicles in Guyana namely: Beharry Automotive Limited, </w:t>
      </w:r>
      <w:proofErr w:type="spellStart"/>
      <w:r w:rsidRPr="00046A8A">
        <w:rPr>
          <w:rFonts w:asciiTheme="majorHAnsi" w:hAnsiTheme="majorHAnsi"/>
        </w:rPr>
        <w:t>Caricom</w:t>
      </w:r>
      <w:proofErr w:type="spellEnd"/>
      <w:r w:rsidRPr="00046A8A">
        <w:rPr>
          <w:rFonts w:asciiTheme="majorHAnsi" w:hAnsiTheme="majorHAnsi"/>
        </w:rPr>
        <w:t xml:space="preserve"> Auto Sales, Car Care Enterprise &amp; Auto Sales, </w:t>
      </w:r>
      <w:proofErr w:type="spellStart"/>
      <w:r w:rsidRPr="00046A8A">
        <w:rPr>
          <w:rFonts w:asciiTheme="majorHAnsi" w:hAnsiTheme="majorHAnsi"/>
        </w:rPr>
        <w:t>Fazela</w:t>
      </w:r>
      <w:proofErr w:type="spellEnd"/>
      <w:r w:rsidRPr="00046A8A">
        <w:rPr>
          <w:rFonts w:asciiTheme="majorHAnsi" w:hAnsiTheme="majorHAnsi"/>
        </w:rPr>
        <w:t xml:space="preserve"> Auto Sales, Full Works Motor Spares/Auto Sales, Best Buy Auto Sales, Car Clean, El </w:t>
      </w:r>
      <w:proofErr w:type="spellStart"/>
      <w:r w:rsidRPr="00046A8A">
        <w:rPr>
          <w:rFonts w:asciiTheme="majorHAnsi" w:hAnsiTheme="majorHAnsi"/>
        </w:rPr>
        <w:t>Commandante</w:t>
      </w:r>
      <w:proofErr w:type="spellEnd"/>
      <w:r w:rsidRPr="00046A8A">
        <w:rPr>
          <w:rFonts w:asciiTheme="majorHAnsi" w:hAnsiTheme="majorHAnsi"/>
        </w:rPr>
        <w:t xml:space="preserve"> Enterprise &amp; Auto Sales and Associated Industries Limited. Suppliers were given at least three weeks to submit a Quotation. At a Tender Opening held on September 18, 2012 at the National Procurement and Tender Administration Board (NPTAB) a bid was received from one supplier, namely Car Care Enterprise &amp; Auto Sales.</w:t>
      </w:r>
    </w:p>
    <w:p w:rsidR="007E3B9A" w:rsidRPr="00046A8A" w:rsidRDefault="007E3B9A" w:rsidP="007E3B9A">
      <w:pPr>
        <w:tabs>
          <w:tab w:val="left" w:pos="810"/>
        </w:tabs>
        <w:ind w:left="720"/>
        <w:jc w:val="both"/>
        <w:rPr>
          <w:rFonts w:asciiTheme="majorHAnsi" w:hAnsiTheme="majorHAnsi"/>
        </w:rPr>
      </w:pPr>
      <w:r w:rsidRPr="00046A8A">
        <w:rPr>
          <w:rFonts w:asciiTheme="majorHAnsi" w:hAnsiTheme="majorHAnsi"/>
        </w:rPr>
        <w:t xml:space="preserve">An Evaluation Team comprising of one representative of the Support for Competitiveness </w:t>
      </w:r>
      <w:proofErr w:type="spellStart"/>
      <w:r w:rsidRPr="00046A8A">
        <w:rPr>
          <w:rFonts w:asciiTheme="majorHAnsi" w:hAnsiTheme="majorHAnsi"/>
        </w:rPr>
        <w:t>Programme</w:t>
      </w:r>
      <w:proofErr w:type="spellEnd"/>
      <w:r w:rsidRPr="00046A8A">
        <w:rPr>
          <w:rFonts w:asciiTheme="majorHAnsi" w:hAnsiTheme="majorHAnsi"/>
        </w:rPr>
        <w:t xml:space="preserve">, one Representative of the Ministry of Finance and one representative of the National Competitiveness Strategy Unit. Based on the evaluation conducted by the team the bid submitted was found to be technically responsive with our specifications of </w:t>
      </w:r>
      <w:r w:rsidR="00A870FE" w:rsidRPr="00046A8A">
        <w:rPr>
          <w:rFonts w:asciiTheme="majorHAnsi" w:hAnsiTheme="majorHAnsi"/>
        </w:rPr>
        <w:t>the motor vehicle to be procured</w:t>
      </w:r>
      <w:r w:rsidRPr="00046A8A">
        <w:rPr>
          <w:rFonts w:asciiTheme="majorHAnsi" w:hAnsiTheme="majorHAnsi"/>
        </w:rPr>
        <w:t>. The team recommended Car Care Enterprise &amp; Auto Sales to supply and deliver one Toyota Mark X Motor Car. This information was sent to the CDB for their approval. Approval was received from the CDB on September 25, 2012.</w:t>
      </w:r>
    </w:p>
    <w:p w:rsidR="0070067E" w:rsidRPr="00046A8A" w:rsidRDefault="005F7B81" w:rsidP="00227C8A">
      <w:pPr>
        <w:tabs>
          <w:tab w:val="left" w:pos="810"/>
        </w:tabs>
        <w:ind w:left="720"/>
        <w:jc w:val="both"/>
        <w:rPr>
          <w:rFonts w:asciiTheme="majorHAnsi" w:hAnsiTheme="majorHAnsi"/>
        </w:rPr>
      </w:pPr>
      <w:r w:rsidRPr="00046A8A">
        <w:rPr>
          <w:rFonts w:asciiTheme="majorHAnsi" w:hAnsiTheme="majorHAnsi"/>
        </w:rPr>
        <w:t>The CCAC received its vehicle on October 16, 2012. It became insured late October 2012 and as such has become operational since then.</w:t>
      </w:r>
    </w:p>
    <w:p w:rsidR="000401B9" w:rsidRDefault="000401B9" w:rsidP="000401B9">
      <w:pPr>
        <w:pStyle w:val="Heading2"/>
      </w:pPr>
      <w:r>
        <w:tab/>
      </w:r>
      <w:bookmarkStart w:id="10" w:name="_Toc346108594"/>
      <w:r w:rsidRPr="000401B9">
        <w:t>(ii) Design and Development of a Database</w:t>
      </w:r>
      <w:bookmarkEnd w:id="10"/>
    </w:p>
    <w:p w:rsidR="00227C8A" w:rsidRPr="00046A8A" w:rsidRDefault="008F43DB" w:rsidP="00046A8A">
      <w:pPr>
        <w:ind w:left="720"/>
        <w:rPr>
          <w:rFonts w:asciiTheme="majorHAnsi" w:hAnsiTheme="majorHAnsi"/>
        </w:rPr>
      </w:pPr>
      <w:r w:rsidRPr="00046A8A">
        <w:rPr>
          <w:rFonts w:asciiTheme="majorHAnsi" w:hAnsiTheme="majorHAnsi"/>
        </w:rPr>
        <w:t xml:space="preserve">The Commission has sought the assistance of members of the Guyana Revenue Authority (GRA) </w:t>
      </w:r>
      <w:r w:rsidR="001D0E57" w:rsidRPr="00046A8A">
        <w:rPr>
          <w:rFonts w:asciiTheme="majorHAnsi" w:hAnsiTheme="majorHAnsi"/>
        </w:rPr>
        <w:t xml:space="preserve">IT department in developing specifications of the database it intends to develop. The Commission is awaiting a proposal from GRA representatives   </w:t>
      </w:r>
      <w:r w:rsidR="00227C8A" w:rsidRPr="00046A8A">
        <w:rPr>
          <w:rFonts w:asciiTheme="majorHAnsi" w:hAnsiTheme="majorHAnsi"/>
        </w:rPr>
        <w:br w:type="page"/>
      </w:r>
    </w:p>
    <w:tbl>
      <w:tblPr>
        <w:tblW w:w="8396" w:type="dxa"/>
        <w:tblInd w:w="487" w:type="dxa"/>
        <w:tblLook w:val="04A0" w:firstRow="1" w:lastRow="0" w:firstColumn="1" w:lastColumn="0" w:noHBand="0" w:noVBand="1"/>
      </w:tblPr>
      <w:tblGrid>
        <w:gridCol w:w="6100"/>
        <w:gridCol w:w="2296"/>
      </w:tblGrid>
      <w:tr w:rsidR="00227C8A" w:rsidRPr="00227C8A" w:rsidTr="00227C8A">
        <w:trPr>
          <w:trHeight w:val="300"/>
        </w:trPr>
        <w:tc>
          <w:tcPr>
            <w:tcW w:w="6100" w:type="dxa"/>
            <w:tcBorders>
              <w:top w:val="nil"/>
              <w:left w:val="nil"/>
              <w:bottom w:val="nil"/>
              <w:right w:val="nil"/>
            </w:tcBorders>
            <w:shd w:val="clear" w:color="auto" w:fill="auto"/>
            <w:noWrap/>
            <w:vAlign w:val="bottom"/>
            <w:hideMark/>
          </w:tcPr>
          <w:p w:rsidR="00227C8A" w:rsidRPr="00227C8A" w:rsidRDefault="00227C8A" w:rsidP="00227C8A">
            <w:pPr>
              <w:pStyle w:val="Heading1"/>
              <w:rPr>
                <w:rFonts w:eastAsia="Times New Roman"/>
                <w:sz w:val="24"/>
                <w:szCs w:val="24"/>
              </w:rPr>
            </w:pPr>
            <w:bookmarkStart w:id="11" w:name="_Toc346108595"/>
            <w:r w:rsidRPr="00227C8A">
              <w:rPr>
                <w:rFonts w:eastAsia="Times New Roman"/>
                <w:sz w:val="24"/>
                <w:szCs w:val="24"/>
              </w:rPr>
              <w:lastRenderedPageBreak/>
              <w:t>CART FUND</w:t>
            </w:r>
            <w:r>
              <w:rPr>
                <w:rFonts w:eastAsia="Times New Roman"/>
                <w:sz w:val="24"/>
                <w:szCs w:val="24"/>
              </w:rPr>
              <w:t xml:space="preserve"> EXPENDITURE AS AT 31 December 2012</w:t>
            </w:r>
            <w:bookmarkEnd w:id="11"/>
          </w:p>
        </w:tc>
        <w:tc>
          <w:tcPr>
            <w:tcW w:w="2296" w:type="dxa"/>
            <w:tcBorders>
              <w:top w:val="nil"/>
              <w:left w:val="nil"/>
              <w:bottom w:val="nil"/>
              <w:right w:val="nil"/>
            </w:tcBorders>
            <w:shd w:val="clear" w:color="auto" w:fill="auto"/>
            <w:noWrap/>
            <w:vAlign w:val="bottom"/>
            <w:hideMark/>
          </w:tcPr>
          <w:p w:rsidR="00227C8A" w:rsidRPr="00227C8A" w:rsidRDefault="00227C8A" w:rsidP="00227C8A">
            <w:pPr>
              <w:spacing w:after="0" w:line="240" w:lineRule="auto"/>
              <w:rPr>
                <w:rFonts w:ascii="Calibri" w:eastAsia="Times New Roman" w:hAnsi="Calibri" w:cs="Times New Roman"/>
                <w:color w:val="000000"/>
              </w:rPr>
            </w:pPr>
          </w:p>
        </w:tc>
      </w:tr>
      <w:tr w:rsidR="00227C8A" w:rsidRPr="00227C8A" w:rsidTr="00227C8A">
        <w:trPr>
          <w:trHeight w:val="420"/>
        </w:trPr>
        <w:tc>
          <w:tcPr>
            <w:tcW w:w="6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C8A" w:rsidRPr="00227C8A" w:rsidRDefault="00227C8A" w:rsidP="00227C8A">
            <w:pPr>
              <w:pStyle w:val="Heading3"/>
              <w:rPr>
                <w:rFonts w:eastAsia="Times New Roman"/>
              </w:rPr>
            </w:pPr>
            <w:bookmarkStart w:id="12" w:name="_Toc346108596"/>
            <w:r w:rsidRPr="00227C8A">
              <w:rPr>
                <w:rFonts w:eastAsia="Times New Roman"/>
              </w:rPr>
              <w:t>Project Activity</w:t>
            </w:r>
            <w:bookmarkEnd w:id="12"/>
          </w:p>
        </w:tc>
        <w:tc>
          <w:tcPr>
            <w:tcW w:w="2296" w:type="dxa"/>
            <w:tcBorders>
              <w:top w:val="single" w:sz="4" w:space="0" w:color="auto"/>
              <w:left w:val="nil"/>
              <w:bottom w:val="nil"/>
              <w:right w:val="single" w:sz="4" w:space="0" w:color="auto"/>
            </w:tcBorders>
            <w:shd w:val="clear" w:color="auto" w:fill="auto"/>
            <w:noWrap/>
            <w:vAlign w:val="center"/>
            <w:hideMark/>
          </w:tcPr>
          <w:p w:rsidR="00227C8A" w:rsidRPr="00227C8A" w:rsidRDefault="00227C8A" w:rsidP="00227C8A">
            <w:pPr>
              <w:pStyle w:val="Heading3"/>
              <w:rPr>
                <w:rFonts w:eastAsia="Times New Roman"/>
              </w:rPr>
            </w:pPr>
            <w:bookmarkStart w:id="13" w:name="_Toc346108597"/>
            <w:r w:rsidRPr="00227C8A">
              <w:rPr>
                <w:rFonts w:eastAsia="Times New Roman"/>
              </w:rPr>
              <w:t>Expenditure to Date</w:t>
            </w:r>
            <w:bookmarkEnd w:id="13"/>
            <w:r w:rsidR="00046A8A">
              <w:rPr>
                <w:rFonts w:eastAsia="Times New Roman"/>
              </w:rPr>
              <w:t xml:space="preserve"> (GYD) </w:t>
            </w:r>
          </w:p>
        </w:tc>
      </w:tr>
      <w:tr w:rsidR="00227C8A" w:rsidRPr="00227C8A" w:rsidTr="00227C8A">
        <w:trPr>
          <w:trHeight w:val="570"/>
        </w:trPr>
        <w:tc>
          <w:tcPr>
            <w:tcW w:w="610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Consumer Affairs/ Lead Technical Advisor</w:t>
            </w:r>
          </w:p>
        </w:tc>
        <w:tc>
          <w:tcPr>
            <w:tcW w:w="2296" w:type="dxa"/>
            <w:tcBorders>
              <w:top w:val="single" w:sz="4" w:space="0" w:color="auto"/>
              <w:left w:val="nil"/>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xml:space="preserve">                         29,695,981 </w:t>
            </w:r>
          </w:p>
        </w:tc>
      </w:tr>
      <w:tr w:rsidR="00227C8A" w:rsidRPr="00227C8A" w:rsidTr="00227C8A">
        <w:trPr>
          <w:trHeight w:val="510"/>
        </w:trPr>
        <w:tc>
          <w:tcPr>
            <w:tcW w:w="6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Competition Policy Advisor</w:t>
            </w:r>
          </w:p>
        </w:tc>
        <w:tc>
          <w:tcPr>
            <w:tcW w:w="2296" w:type="dxa"/>
            <w:tcBorders>
              <w:top w:val="nil"/>
              <w:left w:val="nil"/>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xml:space="preserve">                         13,692,000 </w:t>
            </w:r>
          </w:p>
        </w:tc>
      </w:tr>
      <w:tr w:rsidR="00227C8A" w:rsidRPr="00227C8A" w:rsidTr="00227C8A">
        <w:trPr>
          <w:trHeight w:val="510"/>
        </w:trPr>
        <w:tc>
          <w:tcPr>
            <w:tcW w:w="6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Procurement of Vehicle</w:t>
            </w:r>
          </w:p>
        </w:tc>
        <w:tc>
          <w:tcPr>
            <w:tcW w:w="2296" w:type="dxa"/>
            <w:tcBorders>
              <w:top w:val="nil"/>
              <w:left w:val="nil"/>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xml:space="preserve">                           3,200,000 </w:t>
            </w:r>
          </w:p>
        </w:tc>
      </w:tr>
      <w:tr w:rsidR="00227C8A" w:rsidRPr="00227C8A" w:rsidTr="00227C8A">
        <w:trPr>
          <w:trHeight w:val="510"/>
        </w:trPr>
        <w:tc>
          <w:tcPr>
            <w:tcW w:w="6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Maintenance of Vehicle</w:t>
            </w:r>
          </w:p>
        </w:tc>
        <w:tc>
          <w:tcPr>
            <w:tcW w:w="2296" w:type="dxa"/>
            <w:tcBorders>
              <w:top w:val="nil"/>
              <w:left w:val="nil"/>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xml:space="preserve">                               182,200 </w:t>
            </w:r>
          </w:p>
        </w:tc>
      </w:tr>
      <w:tr w:rsidR="00227C8A" w:rsidRPr="00227C8A" w:rsidTr="00227C8A">
        <w:trPr>
          <w:trHeight w:val="300"/>
        </w:trPr>
        <w:tc>
          <w:tcPr>
            <w:tcW w:w="610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Staff visits to Jamaica &amp; Barbados Fair Trading Commission</w:t>
            </w:r>
          </w:p>
        </w:tc>
        <w:tc>
          <w:tcPr>
            <w:tcW w:w="2296" w:type="dxa"/>
            <w:tcBorders>
              <w:top w:val="nil"/>
              <w:left w:val="nil"/>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300"/>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Staff participation in regional and international workshops, courses and symposiums</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xml:space="preserve">                               663,412 </w:t>
            </w:r>
          </w:p>
        </w:tc>
      </w:tr>
      <w:tr w:rsidR="00227C8A" w:rsidRPr="00227C8A" w:rsidTr="00227C8A">
        <w:trPr>
          <w:trHeight w:val="300"/>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Director, Legal Counsel and Economists to attend competition economics and analysis course</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xml:space="preserve">                               434,515 </w:t>
            </w:r>
          </w:p>
        </w:tc>
      </w:tr>
      <w:tr w:rsidR="00227C8A" w:rsidRPr="00227C8A" w:rsidTr="00227C8A">
        <w:trPr>
          <w:trHeight w:val="300"/>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Legal Counsel to attend competition law course</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945"/>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 xml:space="preserve">Development of an on-going training </w:t>
            </w:r>
            <w:proofErr w:type="spellStart"/>
            <w:r w:rsidRPr="00227C8A">
              <w:rPr>
                <w:rFonts w:asciiTheme="majorHAnsi" w:eastAsia="Times New Roman" w:hAnsiTheme="majorHAnsi" w:cs="Times New Roman"/>
                <w:color w:val="000000"/>
              </w:rPr>
              <w:t>programme</w:t>
            </w:r>
            <w:proofErr w:type="spellEnd"/>
            <w:r w:rsidRPr="00227C8A">
              <w:rPr>
                <w:rFonts w:asciiTheme="majorHAnsi" w:eastAsia="Times New Roman" w:hAnsiTheme="majorHAnsi" w:cs="Times New Roman"/>
                <w:color w:val="000000"/>
              </w:rPr>
              <w:t xml:space="preserve"> on competition policy, analysis, investigations and recommendations</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300"/>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Undertake data and information gap analysis at a sectoral level</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915"/>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 xml:space="preserve">Conduct survey to capture missing information; </w:t>
            </w:r>
            <w:proofErr w:type="spellStart"/>
            <w:r w:rsidRPr="00227C8A">
              <w:rPr>
                <w:rFonts w:asciiTheme="majorHAnsi" w:eastAsia="Times New Roman" w:hAnsiTheme="majorHAnsi" w:cs="Times New Roman"/>
                <w:color w:val="000000"/>
              </w:rPr>
              <w:t>synchronise</w:t>
            </w:r>
            <w:proofErr w:type="spellEnd"/>
            <w:r w:rsidRPr="00227C8A">
              <w:rPr>
                <w:rFonts w:asciiTheme="majorHAnsi" w:eastAsia="Times New Roman" w:hAnsiTheme="majorHAnsi" w:cs="Times New Roman"/>
                <w:color w:val="000000"/>
              </w:rPr>
              <w:t xml:space="preserve"> with Bureau of Statistics, Bank of Guyana and CARICOM Competition Commission</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495"/>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Convert existing data into relevant statistics at a    sectoral level</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780"/>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 xml:space="preserve">Develop methods to capture firm level sensitive information for internal use; and apply international best practice </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840"/>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Develop electronic database capturing firm information and other information, such as history, for internal use</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690"/>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Develop information requirements and documentation framework for use in investigations</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585"/>
        </w:trPr>
        <w:tc>
          <w:tcPr>
            <w:tcW w:w="6100" w:type="dxa"/>
            <w:tcBorders>
              <w:top w:val="single" w:sz="4" w:space="0" w:color="auto"/>
              <w:left w:val="single" w:sz="4" w:space="0" w:color="auto"/>
              <w:bottom w:val="single" w:sz="4" w:space="0" w:color="auto"/>
              <w:right w:val="nil"/>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color w:val="000000"/>
              </w:rPr>
            </w:pPr>
            <w:r w:rsidRPr="00227C8A">
              <w:rPr>
                <w:rFonts w:asciiTheme="majorHAnsi" w:eastAsia="Times New Roman" w:hAnsiTheme="majorHAnsi" w:cs="Times New Roman"/>
                <w:color w:val="000000"/>
              </w:rPr>
              <w:t>Develop regular statistics and evaluation reporting framework for use in investigations</w:t>
            </w:r>
          </w:p>
        </w:tc>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227C8A" w:rsidRPr="00227C8A" w:rsidRDefault="00227C8A" w:rsidP="00227C8A">
            <w:pPr>
              <w:spacing w:after="0" w:line="240" w:lineRule="auto"/>
              <w:jc w:val="right"/>
              <w:rPr>
                <w:rFonts w:asciiTheme="majorHAnsi" w:eastAsia="Times New Roman" w:hAnsiTheme="majorHAnsi" w:cs="Times New Roman"/>
                <w:color w:val="000000"/>
              </w:rPr>
            </w:pPr>
            <w:r w:rsidRPr="00227C8A">
              <w:rPr>
                <w:rFonts w:asciiTheme="majorHAnsi" w:eastAsia="Times New Roman" w:hAnsiTheme="majorHAnsi" w:cs="Times New Roman"/>
                <w:color w:val="000000"/>
              </w:rPr>
              <w:t> </w:t>
            </w:r>
          </w:p>
        </w:tc>
      </w:tr>
      <w:tr w:rsidR="00227C8A" w:rsidRPr="00227C8A" w:rsidTr="00227C8A">
        <w:trPr>
          <w:trHeight w:val="465"/>
        </w:trPr>
        <w:tc>
          <w:tcPr>
            <w:tcW w:w="6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7C8A" w:rsidRPr="00227C8A" w:rsidRDefault="00227C8A" w:rsidP="00227C8A">
            <w:pPr>
              <w:spacing w:after="0" w:line="240" w:lineRule="auto"/>
              <w:rPr>
                <w:rFonts w:asciiTheme="majorHAnsi" w:eastAsia="Times New Roman" w:hAnsiTheme="majorHAnsi" w:cs="Times New Roman"/>
                <w:b/>
                <w:bCs/>
                <w:color w:val="000000"/>
              </w:rPr>
            </w:pPr>
            <w:r w:rsidRPr="00227C8A">
              <w:rPr>
                <w:rFonts w:asciiTheme="majorHAnsi" w:eastAsia="Times New Roman" w:hAnsiTheme="majorHAnsi" w:cs="Times New Roman"/>
                <w:b/>
                <w:bCs/>
                <w:color w:val="000000"/>
              </w:rPr>
              <w:t>Total</w:t>
            </w:r>
          </w:p>
        </w:tc>
        <w:tc>
          <w:tcPr>
            <w:tcW w:w="2296" w:type="dxa"/>
            <w:tcBorders>
              <w:top w:val="nil"/>
              <w:left w:val="nil"/>
              <w:bottom w:val="single" w:sz="4" w:space="0" w:color="auto"/>
              <w:right w:val="single" w:sz="4" w:space="0" w:color="auto"/>
            </w:tcBorders>
            <w:shd w:val="clear" w:color="auto" w:fill="auto"/>
            <w:noWrap/>
            <w:vAlign w:val="bottom"/>
          </w:tcPr>
          <w:p w:rsidR="00227C8A" w:rsidRPr="00227C8A" w:rsidRDefault="00227C8A" w:rsidP="00227C8A">
            <w:pPr>
              <w:spacing w:after="0" w:line="240" w:lineRule="auto"/>
              <w:jc w:val="right"/>
              <w:rPr>
                <w:rFonts w:asciiTheme="majorHAnsi" w:eastAsia="Times New Roman" w:hAnsiTheme="majorHAnsi" w:cs="Times New Roman"/>
                <w:color w:val="000000"/>
              </w:rPr>
            </w:pPr>
            <w:r>
              <w:rPr>
                <w:rFonts w:asciiTheme="majorHAnsi" w:eastAsia="Times New Roman" w:hAnsiTheme="majorHAnsi" w:cs="Times New Roman"/>
                <w:color w:val="000000"/>
              </w:rPr>
              <w:t>$44,485,908</w:t>
            </w:r>
          </w:p>
        </w:tc>
      </w:tr>
    </w:tbl>
    <w:p w:rsidR="00227C8A" w:rsidRPr="007E3B9A" w:rsidRDefault="00227C8A" w:rsidP="00227C8A">
      <w:pPr>
        <w:tabs>
          <w:tab w:val="left" w:pos="810"/>
        </w:tabs>
        <w:ind w:left="720"/>
        <w:jc w:val="both"/>
        <w:rPr>
          <w:rFonts w:asciiTheme="majorHAnsi" w:hAnsiTheme="majorHAnsi"/>
          <w:sz w:val="24"/>
          <w:szCs w:val="24"/>
        </w:rPr>
      </w:pPr>
    </w:p>
    <w:p w:rsidR="005F7B81" w:rsidRDefault="005F7B81" w:rsidP="00272BF6">
      <w:pPr>
        <w:pStyle w:val="Heading1"/>
        <w:tabs>
          <w:tab w:val="left" w:pos="810"/>
        </w:tabs>
        <w:ind w:left="720"/>
      </w:pPr>
      <w:bookmarkStart w:id="14" w:name="_Toc340808246"/>
      <w:bookmarkStart w:id="15" w:name="_Toc346108598"/>
      <w:r w:rsidRPr="000238B1">
        <w:lastRenderedPageBreak/>
        <w:t>STEERING COMMITTEE</w:t>
      </w:r>
      <w:bookmarkEnd w:id="14"/>
      <w:bookmarkEnd w:id="15"/>
    </w:p>
    <w:p w:rsidR="007E3B9A" w:rsidRPr="000401B9" w:rsidRDefault="007E3B9A" w:rsidP="007E3B9A">
      <w:pPr>
        <w:tabs>
          <w:tab w:val="left" w:pos="810"/>
        </w:tabs>
        <w:ind w:left="720"/>
        <w:jc w:val="both"/>
        <w:rPr>
          <w:rFonts w:asciiTheme="majorHAnsi" w:hAnsiTheme="majorHAnsi"/>
        </w:rPr>
      </w:pPr>
      <w:r w:rsidRPr="000401B9">
        <w:rPr>
          <w:rFonts w:asciiTheme="majorHAnsi" w:hAnsiTheme="majorHAnsi"/>
        </w:rPr>
        <w:t xml:space="preserve">An additional requirement of the CDB grant agreement was the establishment of a Steering Committee to review the deliverables of the consultants. The first meeting of the Steering Committee was held on Wednesday June 13, 2012 in the Boardroom of the Ministry of Tourism Industry and Commerce. The TOR of the Committee was discussed along with the Work Plans of both </w:t>
      </w:r>
      <w:proofErr w:type="spellStart"/>
      <w:r w:rsidRPr="000401B9">
        <w:rPr>
          <w:rFonts w:asciiTheme="majorHAnsi" w:hAnsiTheme="majorHAnsi"/>
        </w:rPr>
        <w:t>Menns</w:t>
      </w:r>
      <w:proofErr w:type="spellEnd"/>
      <w:r w:rsidRPr="000401B9">
        <w:rPr>
          <w:rFonts w:asciiTheme="majorHAnsi" w:hAnsiTheme="majorHAnsi"/>
        </w:rPr>
        <w:t xml:space="preserve"> and </w:t>
      </w:r>
      <w:proofErr w:type="spellStart"/>
      <w:r w:rsidRPr="000401B9">
        <w:rPr>
          <w:rFonts w:asciiTheme="majorHAnsi" w:hAnsiTheme="majorHAnsi"/>
        </w:rPr>
        <w:t>Gangi</w:t>
      </w:r>
      <w:proofErr w:type="spellEnd"/>
      <w:r w:rsidRPr="000401B9">
        <w:rPr>
          <w:rFonts w:asciiTheme="majorHAnsi" w:hAnsiTheme="majorHAnsi"/>
        </w:rPr>
        <w:t>. Presentations were also given on the work and structure of the CCAC and on the CART Fund Grant. The second meeting was held on July 4</w:t>
      </w:r>
      <w:r w:rsidRPr="000401B9">
        <w:rPr>
          <w:rFonts w:asciiTheme="majorHAnsi" w:hAnsiTheme="majorHAnsi"/>
          <w:vertAlign w:val="superscript"/>
        </w:rPr>
        <w:t>th</w:t>
      </w:r>
      <w:r w:rsidRPr="000401B9">
        <w:rPr>
          <w:rFonts w:asciiTheme="majorHAnsi" w:hAnsiTheme="majorHAnsi"/>
        </w:rPr>
        <w:t xml:space="preserve"> 2012 where the June deliverables for both Ms. </w:t>
      </w:r>
      <w:proofErr w:type="spellStart"/>
      <w:r w:rsidRPr="000401B9">
        <w:rPr>
          <w:rFonts w:asciiTheme="majorHAnsi" w:hAnsiTheme="majorHAnsi"/>
        </w:rPr>
        <w:t>Menns</w:t>
      </w:r>
      <w:proofErr w:type="spellEnd"/>
      <w:r w:rsidRPr="000401B9">
        <w:rPr>
          <w:rFonts w:asciiTheme="majorHAnsi" w:hAnsiTheme="majorHAnsi"/>
        </w:rPr>
        <w:t xml:space="preserve"> and Mr. </w:t>
      </w:r>
      <w:proofErr w:type="spellStart"/>
      <w:r w:rsidRPr="000401B9">
        <w:rPr>
          <w:rFonts w:asciiTheme="majorHAnsi" w:hAnsiTheme="majorHAnsi"/>
        </w:rPr>
        <w:t>Gangi</w:t>
      </w:r>
      <w:proofErr w:type="spellEnd"/>
      <w:r w:rsidRPr="000401B9">
        <w:rPr>
          <w:rFonts w:asciiTheme="majorHAnsi" w:hAnsiTheme="majorHAnsi"/>
        </w:rPr>
        <w:t xml:space="preserve"> were presented, discussed and approved. It was also agreed that future deliverables will be presented to Steering Committee members via e-mail for review and approval, to circumvent the need for excessive meetings. </w:t>
      </w:r>
    </w:p>
    <w:p w:rsidR="007E3B9A" w:rsidRPr="000401B9" w:rsidRDefault="007E3B9A" w:rsidP="007E3B9A">
      <w:pPr>
        <w:tabs>
          <w:tab w:val="left" w:pos="810"/>
        </w:tabs>
        <w:ind w:left="720"/>
        <w:jc w:val="both"/>
        <w:rPr>
          <w:rFonts w:asciiTheme="majorHAnsi" w:hAnsiTheme="majorHAnsi"/>
        </w:rPr>
      </w:pPr>
      <w:r w:rsidRPr="000401B9">
        <w:rPr>
          <w:rFonts w:asciiTheme="majorHAnsi" w:hAnsiTheme="majorHAnsi"/>
        </w:rPr>
        <w:t xml:space="preserve">During Ms. </w:t>
      </w:r>
      <w:proofErr w:type="spellStart"/>
      <w:r w:rsidRPr="000401B9">
        <w:rPr>
          <w:rFonts w:asciiTheme="majorHAnsi" w:hAnsiTheme="majorHAnsi"/>
        </w:rPr>
        <w:t>Menns</w:t>
      </w:r>
      <w:proofErr w:type="spellEnd"/>
      <w:r w:rsidRPr="000401B9">
        <w:rPr>
          <w:rFonts w:asciiTheme="majorHAnsi" w:hAnsiTheme="majorHAnsi"/>
        </w:rPr>
        <w:t xml:space="preserve">’ visit in August 2012, the Steering Committee met for a third time. Ms. </w:t>
      </w:r>
      <w:proofErr w:type="spellStart"/>
      <w:r w:rsidRPr="000401B9">
        <w:rPr>
          <w:rFonts w:asciiTheme="majorHAnsi" w:hAnsiTheme="majorHAnsi"/>
        </w:rPr>
        <w:t>Menns</w:t>
      </w:r>
      <w:proofErr w:type="spellEnd"/>
      <w:r w:rsidRPr="000401B9">
        <w:rPr>
          <w:rFonts w:asciiTheme="majorHAnsi" w:hAnsiTheme="majorHAnsi"/>
        </w:rPr>
        <w:t xml:space="preserve"> presented her work plan and discussed her strategy for building the capacity of the Commission and assisting with institutional building.</w:t>
      </w:r>
    </w:p>
    <w:p w:rsidR="007E3B9A" w:rsidRPr="000401B9" w:rsidRDefault="007E3B9A" w:rsidP="007E3B9A">
      <w:pPr>
        <w:tabs>
          <w:tab w:val="left" w:pos="810"/>
        </w:tabs>
        <w:ind w:left="720"/>
        <w:jc w:val="both"/>
        <w:rPr>
          <w:rFonts w:asciiTheme="majorHAnsi" w:hAnsiTheme="majorHAnsi"/>
        </w:rPr>
      </w:pPr>
      <w:r w:rsidRPr="000401B9">
        <w:rPr>
          <w:rFonts w:asciiTheme="majorHAnsi" w:hAnsiTheme="majorHAnsi"/>
        </w:rPr>
        <w:t xml:space="preserve">Mr. </w:t>
      </w:r>
      <w:proofErr w:type="spellStart"/>
      <w:r w:rsidRPr="000401B9">
        <w:rPr>
          <w:rFonts w:asciiTheme="majorHAnsi" w:hAnsiTheme="majorHAnsi"/>
        </w:rPr>
        <w:t>Gangi</w:t>
      </w:r>
      <w:proofErr w:type="spellEnd"/>
      <w:r w:rsidRPr="000401B9">
        <w:rPr>
          <w:rFonts w:asciiTheme="majorHAnsi" w:hAnsiTheme="majorHAnsi"/>
        </w:rPr>
        <w:t xml:space="preserve"> also met with the Steering Committee during his visit in September 2012, at which time he presented his work plan and fielded questions regarding public awareness activities that the Commission, in consultation with himself, would seek to present. </w:t>
      </w:r>
    </w:p>
    <w:p w:rsidR="00227C8A" w:rsidRDefault="005F7B81" w:rsidP="00227C8A">
      <w:pPr>
        <w:tabs>
          <w:tab w:val="left" w:pos="810"/>
        </w:tabs>
        <w:ind w:left="720"/>
        <w:jc w:val="both"/>
        <w:rPr>
          <w:rFonts w:asciiTheme="majorHAnsi" w:hAnsiTheme="majorHAnsi"/>
          <w:sz w:val="24"/>
          <w:szCs w:val="24"/>
        </w:rPr>
      </w:pPr>
      <w:r w:rsidRPr="000401B9">
        <w:rPr>
          <w:rFonts w:asciiTheme="majorHAnsi" w:hAnsiTheme="majorHAnsi"/>
        </w:rPr>
        <w:t xml:space="preserve">The Ministry of Legal Affairs’ representative on the Steering Committee has been changed. The former representative was Mr. </w:t>
      </w:r>
      <w:proofErr w:type="spellStart"/>
      <w:r w:rsidRPr="000401B9">
        <w:rPr>
          <w:rFonts w:asciiTheme="majorHAnsi" w:hAnsiTheme="majorHAnsi"/>
        </w:rPr>
        <w:t>Nareshwar</w:t>
      </w:r>
      <w:proofErr w:type="spellEnd"/>
      <w:r w:rsidRPr="000401B9">
        <w:rPr>
          <w:rFonts w:asciiTheme="majorHAnsi" w:hAnsiTheme="majorHAnsi"/>
        </w:rPr>
        <w:t xml:space="preserve"> </w:t>
      </w:r>
      <w:proofErr w:type="spellStart"/>
      <w:r w:rsidRPr="000401B9">
        <w:rPr>
          <w:rFonts w:asciiTheme="majorHAnsi" w:hAnsiTheme="majorHAnsi"/>
        </w:rPr>
        <w:t>Harnanan</w:t>
      </w:r>
      <w:proofErr w:type="spellEnd"/>
      <w:r w:rsidRPr="000401B9">
        <w:rPr>
          <w:rFonts w:asciiTheme="majorHAnsi" w:hAnsiTheme="majorHAnsi"/>
        </w:rPr>
        <w:t xml:space="preserve"> however he has been appointed as a Justice and as such has resigned from the Committee. The new </w:t>
      </w:r>
      <w:r w:rsidR="00227C8A" w:rsidRPr="000401B9">
        <w:rPr>
          <w:rFonts w:asciiTheme="majorHAnsi" w:hAnsiTheme="majorHAnsi"/>
        </w:rPr>
        <w:t xml:space="preserve">representative is </w:t>
      </w:r>
      <w:proofErr w:type="spellStart"/>
      <w:r w:rsidR="00227C8A" w:rsidRPr="000401B9">
        <w:rPr>
          <w:rFonts w:asciiTheme="majorHAnsi" w:hAnsiTheme="majorHAnsi"/>
        </w:rPr>
        <w:t>Eusi</w:t>
      </w:r>
      <w:proofErr w:type="spellEnd"/>
      <w:r w:rsidR="00227C8A" w:rsidRPr="000401B9">
        <w:rPr>
          <w:rFonts w:asciiTheme="majorHAnsi" w:hAnsiTheme="majorHAnsi"/>
        </w:rPr>
        <w:t xml:space="preserve"> Anderson.</w:t>
      </w:r>
    </w:p>
    <w:p w:rsidR="00DF497C" w:rsidRDefault="00DF497C" w:rsidP="00DF497C">
      <w:pPr>
        <w:pStyle w:val="Heading1"/>
        <w:ind w:firstLine="720"/>
      </w:pPr>
      <w:bookmarkStart w:id="16" w:name="_Toc346108599"/>
      <w:r>
        <w:t>RULES OF PROCEDURES</w:t>
      </w:r>
      <w:bookmarkEnd w:id="16"/>
    </w:p>
    <w:p w:rsidR="00DF497C" w:rsidRDefault="00DF497C" w:rsidP="00DF497C">
      <w:pPr>
        <w:ind w:left="720"/>
        <w:rPr>
          <w:rFonts w:asciiTheme="majorHAnsi" w:hAnsiTheme="majorHAnsi"/>
        </w:rPr>
      </w:pPr>
      <w:r w:rsidRPr="00DF497C">
        <w:rPr>
          <w:rFonts w:asciiTheme="majorHAnsi" w:hAnsiTheme="majorHAnsi"/>
        </w:rPr>
        <w:t>On December 6</w:t>
      </w:r>
      <w:r w:rsidRPr="00DF497C">
        <w:rPr>
          <w:rFonts w:asciiTheme="majorHAnsi" w:hAnsiTheme="majorHAnsi"/>
          <w:vertAlign w:val="superscript"/>
        </w:rPr>
        <w:t>th</w:t>
      </w:r>
      <w:r w:rsidRPr="00DF497C">
        <w:rPr>
          <w:rFonts w:asciiTheme="majorHAnsi" w:hAnsiTheme="majorHAnsi"/>
        </w:rPr>
        <w:t xml:space="preserve">, 2012, </w:t>
      </w:r>
      <w:proofErr w:type="spellStart"/>
      <w:r w:rsidRPr="00DF497C">
        <w:rPr>
          <w:rFonts w:asciiTheme="majorHAnsi" w:hAnsiTheme="majorHAnsi"/>
        </w:rPr>
        <w:t>Honourable</w:t>
      </w:r>
      <w:proofErr w:type="spellEnd"/>
      <w:r w:rsidRPr="00DF497C">
        <w:rPr>
          <w:rFonts w:asciiTheme="majorHAnsi" w:hAnsiTheme="majorHAnsi"/>
        </w:rPr>
        <w:t xml:space="preserve"> Minister Ali, Minister of Tourism, Industry and Commerce (ag)</w:t>
      </w:r>
      <w:r>
        <w:rPr>
          <w:rFonts w:asciiTheme="majorHAnsi" w:hAnsiTheme="majorHAnsi"/>
        </w:rPr>
        <w:t xml:space="preserve"> presented comments on the Draft Rules of Procedures for Investigating Competition Law Infringements and the Draft Regulation for Investigating Violations of the Consumer Affairs Act to the Chairman of the Project Steering Committee, Mr. Radha Krishna Sharma. </w:t>
      </w:r>
    </w:p>
    <w:p w:rsidR="00DF497C" w:rsidRDefault="00DF497C" w:rsidP="00DF497C">
      <w:pPr>
        <w:ind w:left="720"/>
        <w:rPr>
          <w:rFonts w:asciiTheme="majorHAnsi" w:hAnsiTheme="majorHAnsi"/>
        </w:rPr>
      </w:pPr>
      <w:proofErr w:type="spellStart"/>
      <w:r>
        <w:rPr>
          <w:rFonts w:asciiTheme="majorHAnsi" w:hAnsiTheme="majorHAnsi"/>
        </w:rPr>
        <w:t>Honourable</w:t>
      </w:r>
      <w:proofErr w:type="spellEnd"/>
      <w:r>
        <w:rPr>
          <w:rFonts w:asciiTheme="majorHAnsi" w:hAnsiTheme="majorHAnsi"/>
        </w:rPr>
        <w:t xml:space="preserve"> Minister Ali then sought the comments and feedback of </w:t>
      </w:r>
      <w:proofErr w:type="spellStart"/>
      <w:r>
        <w:rPr>
          <w:rFonts w:asciiTheme="majorHAnsi" w:hAnsiTheme="majorHAnsi"/>
        </w:rPr>
        <w:t>Honourable</w:t>
      </w:r>
      <w:proofErr w:type="spellEnd"/>
      <w:r>
        <w:rPr>
          <w:rFonts w:asciiTheme="majorHAnsi" w:hAnsiTheme="majorHAnsi"/>
        </w:rPr>
        <w:t xml:space="preserve"> Minister </w:t>
      </w:r>
      <w:proofErr w:type="spellStart"/>
      <w:r>
        <w:rPr>
          <w:rFonts w:asciiTheme="majorHAnsi" w:hAnsiTheme="majorHAnsi"/>
        </w:rPr>
        <w:t>Nandlall</w:t>
      </w:r>
      <w:proofErr w:type="spellEnd"/>
      <w:r>
        <w:rPr>
          <w:rFonts w:asciiTheme="majorHAnsi" w:hAnsiTheme="majorHAnsi"/>
        </w:rPr>
        <w:t>, Minister of Legal Affairs by way of letter dated January 3</w:t>
      </w:r>
      <w:r w:rsidRPr="00DF497C">
        <w:rPr>
          <w:rFonts w:asciiTheme="majorHAnsi" w:hAnsiTheme="majorHAnsi"/>
          <w:vertAlign w:val="superscript"/>
        </w:rPr>
        <w:t>rd</w:t>
      </w:r>
      <w:r>
        <w:rPr>
          <w:rFonts w:asciiTheme="majorHAnsi" w:hAnsiTheme="majorHAnsi"/>
        </w:rPr>
        <w:t>, 2013. Attached to Minister Ali’s request for feedback were the following documents:</w:t>
      </w:r>
    </w:p>
    <w:p w:rsidR="00DF497C" w:rsidRDefault="00DF497C" w:rsidP="00DF497C">
      <w:pPr>
        <w:pStyle w:val="ListParagraph"/>
        <w:numPr>
          <w:ilvl w:val="0"/>
          <w:numId w:val="5"/>
        </w:numPr>
        <w:rPr>
          <w:rFonts w:asciiTheme="majorHAnsi" w:hAnsiTheme="majorHAnsi"/>
        </w:rPr>
      </w:pPr>
      <w:r>
        <w:rPr>
          <w:rFonts w:asciiTheme="majorHAnsi" w:hAnsiTheme="majorHAnsi"/>
        </w:rPr>
        <w:t>Minister Ali’s comments on both sets of draft Rules.</w:t>
      </w:r>
    </w:p>
    <w:p w:rsidR="00DF497C" w:rsidRDefault="00DF497C" w:rsidP="00DF497C">
      <w:pPr>
        <w:pStyle w:val="ListParagraph"/>
        <w:numPr>
          <w:ilvl w:val="0"/>
          <w:numId w:val="5"/>
        </w:numPr>
        <w:rPr>
          <w:rFonts w:asciiTheme="majorHAnsi" w:hAnsiTheme="majorHAnsi"/>
        </w:rPr>
      </w:pPr>
      <w:r>
        <w:rPr>
          <w:rFonts w:asciiTheme="majorHAnsi" w:hAnsiTheme="majorHAnsi"/>
        </w:rPr>
        <w:t xml:space="preserve">Draft Rules for Investigating Competition Law Infringements presented by K.L. </w:t>
      </w:r>
      <w:proofErr w:type="spellStart"/>
      <w:r>
        <w:rPr>
          <w:rFonts w:asciiTheme="majorHAnsi" w:hAnsiTheme="majorHAnsi"/>
        </w:rPr>
        <w:t>Menns</w:t>
      </w:r>
      <w:proofErr w:type="spellEnd"/>
    </w:p>
    <w:p w:rsidR="00DF497C" w:rsidRDefault="00DF497C" w:rsidP="00DF497C">
      <w:pPr>
        <w:pStyle w:val="ListParagraph"/>
        <w:numPr>
          <w:ilvl w:val="0"/>
          <w:numId w:val="5"/>
        </w:numPr>
        <w:rPr>
          <w:rFonts w:asciiTheme="majorHAnsi" w:hAnsiTheme="majorHAnsi"/>
        </w:rPr>
      </w:pPr>
      <w:r>
        <w:rPr>
          <w:rFonts w:asciiTheme="majorHAnsi" w:hAnsiTheme="majorHAnsi"/>
        </w:rPr>
        <w:t xml:space="preserve">Draft Regulation for Investigating Violations of the Consumer Affairs Act presented by Massimiliano </w:t>
      </w:r>
      <w:proofErr w:type="spellStart"/>
      <w:r>
        <w:rPr>
          <w:rFonts w:asciiTheme="majorHAnsi" w:hAnsiTheme="majorHAnsi"/>
        </w:rPr>
        <w:t>Gangi</w:t>
      </w:r>
      <w:proofErr w:type="spellEnd"/>
    </w:p>
    <w:p w:rsidR="000401B9" w:rsidRDefault="000401B9" w:rsidP="00DF497C">
      <w:pPr>
        <w:pStyle w:val="ListParagraph"/>
        <w:numPr>
          <w:ilvl w:val="0"/>
          <w:numId w:val="5"/>
        </w:numPr>
        <w:rPr>
          <w:rFonts w:asciiTheme="majorHAnsi" w:hAnsiTheme="majorHAnsi"/>
        </w:rPr>
      </w:pPr>
      <w:r>
        <w:rPr>
          <w:rFonts w:asciiTheme="majorHAnsi" w:hAnsiTheme="majorHAnsi"/>
        </w:rPr>
        <w:t>DRAFT Rules of Procedures for Investigating Competition Law Infringements drafted by the Competition and Consumer Affairs Commission</w:t>
      </w:r>
    </w:p>
    <w:p w:rsidR="000401B9" w:rsidRDefault="000401B9" w:rsidP="000401B9">
      <w:pPr>
        <w:pStyle w:val="ListParagraph"/>
        <w:ind w:left="1080"/>
        <w:rPr>
          <w:rFonts w:asciiTheme="majorHAnsi" w:hAnsiTheme="majorHAnsi"/>
        </w:rPr>
      </w:pPr>
    </w:p>
    <w:p w:rsidR="000401B9" w:rsidRDefault="000401B9" w:rsidP="000401B9">
      <w:pPr>
        <w:pStyle w:val="ListParagraph"/>
        <w:ind w:left="1080"/>
        <w:rPr>
          <w:rFonts w:asciiTheme="majorHAnsi" w:hAnsiTheme="majorHAnsi"/>
        </w:rPr>
      </w:pPr>
      <w:r>
        <w:rPr>
          <w:rFonts w:asciiTheme="majorHAnsi" w:hAnsiTheme="majorHAnsi"/>
        </w:rPr>
        <w:lastRenderedPageBreak/>
        <w:t xml:space="preserve">Please note number 4 above seeks to modify number 2 above without the assistance of the consultant and as such was presented to Minister </w:t>
      </w:r>
      <w:proofErr w:type="spellStart"/>
      <w:r>
        <w:rPr>
          <w:rFonts w:asciiTheme="majorHAnsi" w:hAnsiTheme="majorHAnsi"/>
        </w:rPr>
        <w:t>Nandlall</w:t>
      </w:r>
      <w:proofErr w:type="spellEnd"/>
      <w:r>
        <w:rPr>
          <w:rFonts w:asciiTheme="majorHAnsi" w:hAnsiTheme="majorHAnsi"/>
        </w:rPr>
        <w:t xml:space="preserve"> in an effort to move the finalization process along.</w:t>
      </w:r>
    </w:p>
    <w:p w:rsidR="000401B9" w:rsidRDefault="000401B9" w:rsidP="000401B9">
      <w:pPr>
        <w:pStyle w:val="ListParagraph"/>
        <w:ind w:left="1080"/>
        <w:rPr>
          <w:rFonts w:asciiTheme="majorHAnsi" w:hAnsiTheme="majorHAnsi"/>
        </w:rPr>
      </w:pPr>
    </w:p>
    <w:p w:rsidR="000401B9" w:rsidRPr="000401B9" w:rsidRDefault="000401B9" w:rsidP="000401B9">
      <w:pPr>
        <w:ind w:firstLine="720"/>
        <w:rPr>
          <w:rFonts w:asciiTheme="majorHAnsi" w:hAnsiTheme="majorHAnsi"/>
        </w:rPr>
      </w:pPr>
      <w:r>
        <w:rPr>
          <w:rFonts w:asciiTheme="majorHAnsi" w:hAnsiTheme="majorHAnsi"/>
        </w:rPr>
        <w:t xml:space="preserve">Minister Ali awaits the comments of Minister </w:t>
      </w:r>
      <w:proofErr w:type="spellStart"/>
      <w:r>
        <w:rPr>
          <w:rFonts w:asciiTheme="majorHAnsi" w:hAnsiTheme="majorHAnsi"/>
        </w:rPr>
        <w:t>Nandlall</w:t>
      </w:r>
      <w:proofErr w:type="spellEnd"/>
      <w:r>
        <w:rPr>
          <w:rFonts w:asciiTheme="majorHAnsi" w:hAnsiTheme="majorHAnsi"/>
        </w:rPr>
        <w:t>.</w:t>
      </w:r>
    </w:p>
    <w:p w:rsidR="00DF497C" w:rsidRPr="00DF497C" w:rsidRDefault="00DF497C" w:rsidP="00DF497C">
      <w:pPr>
        <w:rPr>
          <w:rFonts w:asciiTheme="majorHAnsi" w:hAnsiTheme="majorHAnsi"/>
        </w:rPr>
      </w:pPr>
    </w:p>
    <w:p w:rsidR="00227C8A" w:rsidRPr="00DF497C" w:rsidRDefault="00227C8A" w:rsidP="00DF497C">
      <w:pPr>
        <w:sectPr w:rsidR="00227C8A" w:rsidRPr="00DF497C" w:rsidSect="00096E3D">
          <w:pgSz w:w="12240" w:h="15840"/>
          <w:pgMar w:top="1440" w:right="1440" w:bottom="1440" w:left="1440" w:header="720" w:footer="720" w:gutter="0"/>
          <w:pgNumType w:start="0"/>
          <w:cols w:space="720"/>
          <w:titlePg/>
          <w:docGrid w:linePitch="360"/>
        </w:sectPr>
      </w:pPr>
    </w:p>
    <w:p w:rsidR="00227C8A" w:rsidRPr="00227C8A" w:rsidRDefault="00227C8A" w:rsidP="00227C8A">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17" w:name="_Toc346108600"/>
      <w:r w:rsidRPr="00227C8A">
        <w:rPr>
          <w:rFonts w:asciiTheme="majorHAnsi" w:eastAsiaTheme="majorEastAsia" w:hAnsiTheme="majorHAnsi" w:cstheme="majorBidi"/>
          <w:b/>
          <w:bCs/>
          <w:color w:val="365F91" w:themeColor="accent1" w:themeShade="BF"/>
          <w:sz w:val="28"/>
          <w:szCs w:val="28"/>
        </w:rPr>
        <w:lastRenderedPageBreak/>
        <w:t>STAFF CAPACITY BUILDING</w:t>
      </w:r>
      <w:bookmarkEnd w:id="17"/>
    </w:p>
    <w:tbl>
      <w:tblPr>
        <w:tblStyle w:val="TableGrid1"/>
        <w:tblW w:w="0" w:type="auto"/>
        <w:tblLayout w:type="fixed"/>
        <w:tblLook w:val="04A0" w:firstRow="1" w:lastRow="0" w:firstColumn="1" w:lastColumn="0" w:noHBand="0" w:noVBand="1"/>
      </w:tblPr>
      <w:tblGrid>
        <w:gridCol w:w="3798"/>
        <w:gridCol w:w="1800"/>
        <w:gridCol w:w="1440"/>
        <w:gridCol w:w="2070"/>
      </w:tblGrid>
      <w:tr w:rsidR="00046A8A" w:rsidRPr="00227C8A" w:rsidTr="00227C8A">
        <w:trPr>
          <w:tblHeader/>
        </w:trPr>
        <w:tc>
          <w:tcPr>
            <w:tcW w:w="3798" w:type="dxa"/>
          </w:tcPr>
          <w:p w:rsidR="00046A8A" w:rsidRPr="00227C8A" w:rsidRDefault="00046A8A" w:rsidP="00227C8A">
            <w:pPr>
              <w:rPr>
                <w:rFonts w:ascii="Cambria" w:hAnsi="Cambria"/>
                <w:b/>
                <w:sz w:val="24"/>
                <w:szCs w:val="24"/>
              </w:rPr>
            </w:pPr>
            <w:r w:rsidRPr="00227C8A">
              <w:rPr>
                <w:rFonts w:ascii="Cambria" w:hAnsi="Cambria"/>
                <w:b/>
                <w:sz w:val="24"/>
                <w:szCs w:val="24"/>
              </w:rPr>
              <w:t>Description of Training Session</w:t>
            </w:r>
          </w:p>
        </w:tc>
        <w:tc>
          <w:tcPr>
            <w:tcW w:w="1800" w:type="dxa"/>
          </w:tcPr>
          <w:p w:rsidR="00046A8A" w:rsidRPr="00227C8A" w:rsidRDefault="00046A8A" w:rsidP="00227C8A">
            <w:pPr>
              <w:rPr>
                <w:rFonts w:ascii="Cambria" w:hAnsi="Cambria"/>
                <w:b/>
                <w:sz w:val="24"/>
                <w:szCs w:val="24"/>
              </w:rPr>
            </w:pPr>
            <w:r w:rsidRPr="00227C8A">
              <w:rPr>
                <w:rFonts w:ascii="Cambria" w:hAnsi="Cambria"/>
                <w:b/>
                <w:sz w:val="24"/>
                <w:szCs w:val="24"/>
              </w:rPr>
              <w:t>Attendees</w:t>
            </w:r>
          </w:p>
        </w:tc>
        <w:tc>
          <w:tcPr>
            <w:tcW w:w="1440" w:type="dxa"/>
          </w:tcPr>
          <w:p w:rsidR="00046A8A" w:rsidRPr="00227C8A" w:rsidRDefault="00046A8A" w:rsidP="00227C8A">
            <w:pPr>
              <w:rPr>
                <w:rFonts w:asciiTheme="majorHAnsi" w:hAnsiTheme="majorHAnsi"/>
                <w:b/>
                <w:sz w:val="24"/>
                <w:szCs w:val="24"/>
              </w:rPr>
            </w:pPr>
            <w:r w:rsidRPr="00227C8A">
              <w:rPr>
                <w:rFonts w:asciiTheme="majorHAnsi" w:hAnsiTheme="majorHAnsi"/>
                <w:b/>
                <w:sz w:val="24"/>
                <w:szCs w:val="24"/>
              </w:rPr>
              <w:t>Month</w:t>
            </w:r>
          </w:p>
        </w:tc>
        <w:tc>
          <w:tcPr>
            <w:tcW w:w="2070" w:type="dxa"/>
          </w:tcPr>
          <w:p w:rsidR="00046A8A" w:rsidRPr="00227C8A" w:rsidRDefault="00046A8A" w:rsidP="00227C8A">
            <w:pPr>
              <w:rPr>
                <w:rFonts w:asciiTheme="majorHAnsi" w:hAnsiTheme="majorHAnsi"/>
                <w:b/>
                <w:sz w:val="24"/>
                <w:szCs w:val="24"/>
              </w:rPr>
            </w:pPr>
            <w:r w:rsidRPr="00227C8A">
              <w:rPr>
                <w:rFonts w:asciiTheme="majorHAnsi" w:hAnsiTheme="majorHAnsi"/>
                <w:b/>
                <w:sz w:val="24"/>
                <w:szCs w:val="24"/>
              </w:rPr>
              <w:t>Training Facilitator</w:t>
            </w:r>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Tools of Analysis in Competition Law Cases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April</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K.L. </w:t>
            </w:r>
            <w:proofErr w:type="spellStart"/>
            <w:r w:rsidRPr="00227C8A">
              <w:rPr>
                <w:rFonts w:asciiTheme="majorHAnsi" w:hAnsiTheme="majorHAnsi"/>
                <w:sz w:val="24"/>
                <w:szCs w:val="24"/>
              </w:rPr>
              <w:t>Menns</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Warranties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June</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Massimiliano </w:t>
            </w:r>
            <w:proofErr w:type="spellStart"/>
            <w:r w:rsidRPr="00227C8A">
              <w:rPr>
                <w:rFonts w:asciiTheme="majorHAnsi" w:hAnsiTheme="majorHAnsi"/>
                <w:sz w:val="24"/>
                <w:szCs w:val="24"/>
              </w:rPr>
              <w:t>Gangi</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Market Definition</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June</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K.L. </w:t>
            </w:r>
            <w:proofErr w:type="spellStart"/>
            <w:r w:rsidRPr="00227C8A">
              <w:rPr>
                <w:rFonts w:asciiTheme="majorHAnsi" w:hAnsiTheme="majorHAnsi"/>
                <w:sz w:val="24"/>
                <w:szCs w:val="24"/>
              </w:rPr>
              <w:t>Menns</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Mergers and Acquisitions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June</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Massimiliano </w:t>
            </w:r>
            <w:proofErr w:type="spellStart"/>
            <w:r w:rsidRPr="00227C8A">
              <w:rPr>
                <w:rFonts w:asciiTheme="majorHAnsi" w:hAnsiTheme="majorHAnsi"/>
                <w:sz w:val="24"/>
                <w:szCs w:val="24"/>
              </w:rPr>
              <w:t>Gangi</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Unfair Contract Terms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p w:rsidR="00046A8A" w:rsidRPr="00227C8A" w:rsidRDefault="00046A8A" w:rsidP="00227C8A">
            <w:pPr>
              <w:rPr>
                <w:rFonts w:asciiTheme="majorHAnsi" w:hAnsiTheme="majorHAnsi"/>
                <w:sz w:val="24"/>
                <w:szCs w:val="24"/>
              </w:rPr>
            </w:pPr>
            <w:r w:rsidRPr="00227C8A">
              <w:rPr>
                <w:rFonts w:asciiTheme="majorHAnsi" w:hAnsiTheme="majorHAnsi"/>
                <w:sz w:val="24"/>
                <w:szCs w:val="24"/>
              </w:rPr>
              <w:t>Lawyer for CCAC</w:t>
            </w:r>
          </w:p>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Consumer Affairs Division (CAD)</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June</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Massimiliano </w:t>
            </w:r>
            <w:proofErr w:type="spellStart"/>
            <w:r w:rsidRPr="00227C8A">
              <w:rPr>
                <w:rFonts w:asciiTheme="majorHAnsi" w:hAnsiTheme="majorHAnsi"/>
                <w:sz w:val="24"/>
                <w:szCs w:val="24"/>
              </w:rPr>
              <w:t>Gangi</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Anti-competitive Agreements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June</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K.L. </w:t>
            </w:r>
            <w:proofErr w:type="spellStart"/>
            <w:r w:rsidRPr="00227C8A">
              <w:rPr>
                <w:rFonts w:asciiTheme="majorHAnsi" w:hAnsiTheme="majorHAnsi"/>
                <w:sz w:val="24"/>
                <w:szCs w:val="24"/>
              </w:rPr>
              <w:t>Menns</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proofErr w:type="spellStart"/>
            <w:r w:rsidRPr="00227C8A">
              <w:rPr>
                <w:rFonts w:asciiTheme="majorHAnsi" w:hAnsiTheme="majorHAnsi"/>
                <w:sz w:val="24"/>
                <w:szCs w:val="24"/>
              </w:rPr>
              <w:t>Authorisation</w:t>
            </w:r>
            <w:proofErr w:type="spellEnd"/>
            <w:r w:rsidRPr="00227C8A">
              <w:rPr>
                <w:rFonts w:asciiTheme="majorHAnsi" w:hAnsiTheme="majorHAnsi"/>
                <w:sz w:val="24"/>
                <w:szCs w:val="24"/>
              </w:rPr>
              <w:t xml:space="preserve"> and Notification Regime</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June</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K.L. </w:t>
            </w:r>
            <w:proofErr w:type="spellStart"/>
            <w:r w:rsidRPr="00227C8A">
              <w:rPr>
                <w:rFonts w:asciiTheme="majorHAnsi" w:hAnsiTheme="majorHAnsi"/>
                <w:sz w:val="24"/>
                <w:szCs w:val="24"/>
              </w:rPr>
              <w:t>Menns</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Pr>
                <w:rFonts w:asciiTheme="majorHAnsi" w:hAnsiTheme="majorHAnsi"/>
                <w:sz w:val="24"/>
                <w:szCs w:val="24"/>
              </w:rPr>
              <w:t>United Nations Council for Trade &amp; Development (UNCTAD) 12</w:t>
            </w:r>
            <w:r w:rsidRPr="00227C8A">
              <w:rPr>
                <w:rFonts w:asciiTheme="majorHAnsi" w:hAnsiTheme="majorHAnsi"/>
                <w:sz w:val="24"/>
                <w:szCs w:val="24"/>
                <w:vertAlign w:val="superscript"/>
              </w:rPr>
              <w:t>th</w:t>
            </w:r>
            <w:r>
              <w:rPr>
                <w:rFonts w:asciiTheme="majorHAnsi" w:hAnsiTheme="majorHAnsi"/>
                <w:sz w:val="24"/>
                <w:szCs w:val="24"/>
              </w:rPr>
              <w:t xml:space="preserve"> Session of the Intergovernmental Group of Experts Meeting on Competition Law</w:t>
            </w:r>
          </w:p>
        </w:tc>
        <w:tc>
          <w:tcPr>
            <w:tcW w:w="1800" w:type="dxa"/>
          </w:tcPr>
          <w:p w:rsidR="00046A8A" w:rsidRPr="00227C8A" w:rsidRDefault="00046A8A" w:rsidP="00227C8A">
            <w:pPr>
              <w:rPr>
                <w:rFonts w:asciiTheme="majorHAnsi" w:hAnsiTheme="majorHAnsi"/>
                <w:sz w:val="24"/>
                <w:szCs w:val="24"/>
              </w:rPr>
            </w:pPr>
            <w:r>
              <w:rPr>
                <w:rFonts w:asciiTheme="majorHAnsi" w:hAnsiTheme="majorHAnsi"/>
                <w:sz w:val="24"/>
                <w:szCs w:val="24"/>
              </w:rPr>
              <w:t xml:space="preserve">Seema </w:t>
            </w:r>
            <w:proofErr w:type="spellStart"/>
            <w:r>
              <w:rPr>
                <w:rFonts w:asciiTheme="majorHAnsi" w:hAnsiTheme="majorHAnsi"/>
                <w:sz w:val="24"/>
                <w:szCs w:val="24"/>
              </w:rPr>
              <w:t>Rambaran</w:t>
            </w:r>
            <w:proofErr w:type="spellEnd"/>
            <w:r>
              <w:rPr>
                <w:rFonts w:asciiTheme="majorHAnsi" w:hAnsiTheme="majorHAnsi"/>
                <w:sz w:val="24"/>
                <w:szCs w:val="24"/>
              </w:rPr>
              <w:t>, Director, CCAC</w:t>
            </w:r>
          </w:p>
        </w:tc>
        <w:tc>
          <w:tcPr>
            <w:tcW w:w="1440" w:type="dxa"/>
          </w:tcPr>
          <w:p w:rsidR="00046A8A" w:rsidRPr="00227C8A" w:rsidRDefault="00046A8A" w:rsidP="00227C8A">
            <w:pPr>
              <w:rPr>
                <w:rFonts w:asciiTheme="majorHAnsi" w:hAnsiTheme="majorHAnsi"/>
                <w:sz w:val="24"/>
                <w:szCs w:val="24"/>
              </w:rPr>
            </w:pPr>
            <w:r>
              <w:rPr>
                <w:rFonts w:asciiTheme="majorHAnsi" w:hAnsiTheme="majorHAnsi"/>
                <w:sz w:val="24"/>
                <w:szCs w:val="24"/>
              </w:rPr>
              <w:t>July</w:t>
            </w:r>
          </w:p>
        </w:tc>
        <w:tc>
          <w:tcPr>
            <w:tcW w:w="2070" w:type="dxa"/>
          </w:tcPr>
          <w:p w:rsidR="00046A8A" w:rsidRPr="00227C8A" w:rsidRDefault="00046A8A" w:rsidP="00227C8A">
            <w:pPr>
              <w:rPr>
                <w:rFonts w:asciiTheme="majorHAnsi" w:hAnsiTheme="majorHAnsi"/>
                <w:sz w:val="24"/>
                <w:szCs w:val="24"/>
              </w:rPr>
            </w:pPr>
            <w:r>
              <w:rPr>
                <w:rFonts w:asciiTheme="majorHAnsi" w:hAnsiTheme="majorHAnsi"/>
                <w:sz w:val="24"/>
                <w:szCs w:val="24"/>
              </w:rPr>
              <w:t>UNCTAD</w:t>
            </w:r>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Consumer Protection Regulation</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p w:rsidR="00046A8A" w:rsidRPr="00227C8A" w:rsidRDefault="00046A8A" w:rsidP="00227C8A">
            <w:pPr>
              <w:rPr>
                <w:rFonts w:asciiTheme="majorHAnsi" w:hAnsiTheme="majorHAnsi"/>
                <w:sz w:val="24"/>
                <w:szCs w:val="24"/>
              </w:rPr>
            </w:pPr>
            <w:r w:rsidRPr="00227C8A">
              <w:rPr>
                <w:rFonts w:asciiTheme="majorHAnsi" w:hAnsiTheme="majorHAnsi"/>
                <w:sz w:val="24"/>
                <w:szCs w:val="24"/>
              </w:rPr>
              <w:t>Lawyer for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July</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Massimiliano </w:t>
            </w:r>
            <w:proofErr w:type="spellStart"/>
            <w:r w:rsidRPr="00227C8A">
              <w:rPr>
                <w:rFonts w:asciiTheme="majorHAnsi" w:hAnsiTheme="majorHAnsi"/>
                <w:sz w:val="24"/>
                <w:szCs w:val="24"/>
              </w:rPr>
              <w:t>Gangi</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Milestone Judgments in Competition Law Cases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Adrian </w:t>
            </w:r>
            <w:proofErr w:type="spellStart"/>
            <w:r w:rsidRPr="00227C8A">
              <w:rPr>
                <w:rFonts w:asciiTheme="majorHAnsi" w:hAnsiTheme="majorHAnsi"/>
                <w:sz w:val="24"/>
                <w:szCs w:val="24"/>
              </w:rPr>
              <w:t>Anamayah</w:t>
            </w:r>
            <w:proofErr w:type="spellEnd"/>
            <w:r w:rsidRPr="00227C8A">
              <w:rPr>
                <w:rFonts w:asciiTheme="majorHAnsi" w:hAnsiTheme="majorHAnsi"/>
                <w:sz w:val="24"/>
                <w:szCs w:val="24"/>
              </w:rPr>
              <w:t>, Commissioner</w:t>
            </w:r>
          </w:p>
          <w:p w:rsidR="00046A8A" w:rsidRPr="00227C8A" w:rsidRDefault="00046A8A" w:rsidP="00227C8A">
            <w:pPr>
              <w:rPr>
                <w:rFonts w:asciiTheme="majorHAnsi" w:hAnsiTheme="majorHAnsi"/>
                <w:sz w:val="24"/>
                <w:szCs w:val="24"/>
              </w:rPr>
            </w:pPr>
            <w:r w:rsidRPr="00227C8A">
              <w:rPr>
                <w:rFonts w:asciiTheme="majorHAnsi" w:hAnsiTheme="majorHAnsi"/>
                <w:sz w:val="24"/>
                <w:szCs w:val="24"/>
              </w:rPr>
              <w:lastRenderedPageBreak/>
              <w:t xml:space="preserve">Seema </w:t>
            </w:r>
            <w:proofErr w:type="spellStart"/>
            <w:r w:rsidRPr="00227C8A">
              <w:rPr>
                <w:rFonts w:asciiTheme="majorHAnsi" w:hAnsiTheme="majorHAnsi"/>
                <w:sz w:val="24"/>
                <w:szCs w:val="24"/>
              </w:rPr>
              <w:t>Rambaran</w:t>
            </w:r>
            <w:proofErr w:type="spellEnd"/>
            <w:r w:rsidRPr="00227C8A">
              <w:rPr>
                <w:rFonts w:asciiTheme="majorHAnsi" w:hAnsiTheme="majorHAnsi"/>
                <w:sz w:val="24"/>
                <w:szCs w:val="24"/>
              </w:rPr>
              <w:t>, Director</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lastRenderedPageBreak/>
              <w:t>July</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Small States Network</w:t>
            </w:r>
          </w:p>
          <w:p w:rsidR="00046A8A" w:rsidRPr="00227C8A" w:rsidRDefault="00046A8A" w:rsidP="00227C8A">
            <w:pPr>
              <w:rPr>
                <w:rFonts w:asciiTheme="majorHAnsi" w:hAnsiTheme="majorHAnsi"/>
                <w:sz w:val="24"/>
                <w:szCs w:val="24"/>
              </w:rPr>
            </w:pPr>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Rules of Procedure for Investigating Competition Law Cases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p w:rsidR="00046A8A" w:rsidRPr="00227C8A" w:rsidRDefault="00046A8A" w:rsidP="00227C8A">
            <w:pPr>
              <w:rPr>
                <w:rFonts w:asciiTheme="majorHAnsi" w:hAnsiTheme="majorHAnsi"/>
                <w:sz w:val="24"/>
                <w:szCs w:val="24"/>
              </w:rPr>
            </w:pPr>
            <w:r w:rsidRPr="00227C8A">
              <w:rPr>
                <w:rFonts w:asciiTheme="majorHAnsi" w:hAnsiTheme="majorHAnsi"/>
                <w:sz w:val="24"/>
                <w:szCs w:val="24"/>
              </w:rPr>
              <w:t>Commissioners</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August</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K.L. </w:t>
            </w:r>
            <w:proofErr w:type="spellStart"/>
            <w:r w:rsidRPr="00227C8A">
              <w:rPr>
                <w:rFonts w:asciiTheme="majorHAnsi" w:hAnsiTheme="majorHAnsi"/>
                <w:sz w:val="24"/>
                <w:szCs w:val="24"/>
              </w:rPr>
              <w:t>Menns</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Abuse of Dominance</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August</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K.L. </w:t>
            </w:r>
            <w:proofErr w:type="spellStart"/>
            <w:r w:rsidRPr="00227C8A">
              <w:rPr>
                <w:rFonts w:asciiTheme="majorHAnsi" w:hAnsiTheme="majorHAnsi"/>
                <w:sz w:val="24"/>
                <w:szCs w:val="24"/>
              </w:rPr>
              <w:t>Menns</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Legal Writing and Vertical Agreements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August</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K.L. </w:t>
            </w:r>
            <w:proofErr w:type="spellStart"/>
            <w:r w:rsidRPr="00227C8A">
              <w:rPr>
                <w:rFonts w:asciiTheme="majorHAnsi" w:hAnsiTheme="majorHAnsi"/>
                <w:sz w:val="24"/>
                <w:szCs w:val="24"/>
              </w:rPr>
              <w:t>Menns</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Distribution Systems in Competition Law</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August</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K.L. </w:t>
            </w:r>
            <w:proofErr w:type="spellStart"/>
            <w:r w:rsidRPr="00227C8A">
              <w:rPr>
                <w:rFonts w:asciiTheme="majorHAnsi" w:hAnsiTheme="majorHAnsi"/>
                <w:sz w:val="24"/>
                <w:szCs w:val="24"/>
              </w:rPr>
              <w:t>Menns</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Unfair Commercial Practices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September</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Massimiliano </w:t>
            </w:r>
            <w:proofErr w:type="spellStart"/>
            <w:r w:rsidRPr="00227C8A">
              <w:rPr>
                <w:rFonts w:asciiTheme="majorHAnsi" w:hAnsiTheme="majorHAnsi"/>
                <w:sz w:val="24"/>
                <w:szCs w:val="24"/>
              </w:rPr>
              <w:t>Gangi</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Distance Sales Contracts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Staff of CCAC</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September</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 xml:space="preserve">Massimiliano </w:t>
            </w:r>
            <w:proofErr w:type="spellStart"/>
            <w:r w:rsidRPr="00227C8A">
              <w:rPr>
                <w:rFonts w:asciiTheme="majorHAnsi" w:hAnsiTheme="majorHAnsi"/>
                <w:sz w:val="24"/>
                <w:szCs w:val="24"/>
              </w:rPr>
              <w:t>Gangi</w:t>
            </w:r>
            <w:proofErr w:type="spellEnd"/>
          </w:p>
        </w:tc>
      </w:tr>
      <w:tr w:rsidR="00046A8A" w:rsidRPr="00227C8A" w:rsidTr="00227C8A">
        <w:tc>
          <w:tcPr>
            <w:tcW w:w="3798"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Workshop on Conducting Cartel Investigations</w:t>
            </w:r>
          </w:p>
        </w:tc>
        <w:tc>
          <w:tcPr>
            <w:tcW w:w="180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Competition Policy Officer, Imran Khan</w:t>
            </w:r>
          </w:p>
        </w:tc>
        <w:tc>
          <w:tcPr>
            <w:tcW w:w="144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October</w:t>
            </w:r>
          </w:p>
        </w:tc>
        <w:tc>
          <w:tcPr>
            <w:tcW w:w="2070" w:type="dxa"/>
          </w:tcPr>
          <w:p w:rsidR="00046A8A" w:rsidRPr="00227C8A" w:rsidRDefault="00046A8A" w:rsidP="00227C8A">
            <w:pPr>
              <w:rPr>
                <w:rFonts w:asciiTheme="majorHAnsi" w:hAnsiTheme="majorHAnsi"/>
                <w:sz w:val="24"/>
                <w:szCs w:val="24"/>
              </w:rPr>
            </w:pPr>
            <w:r w:rsidRPr="00227C8A">
              <w:rPr>
                <w:rFonts w:asciiTheme="majorHAnsi" w:hAnsiTheme="majorHAnsi"/>
                <w:sz w:val="24"/>
                <w:szCs w:val="24"/>
              </w:rPr>
              <w:t>International Competition Network</w:t>
            </w:r>
          </w:p>
        </w:tc>
      </w:tr>
      <w:tr w:rsidR="00046A8A" w:rsidRPr="00227C8A" w:rsidTr="00227C8A">
        <w:tc>
          <w:tcPr>
            <w:tcW w:w="3798" w:type="dxa"/>
          </w:tcPr>
          <w:p w:rsidR="00046A8A" w:rsidRPr="00227C8A" w:rsidRDefault="00046A8A" w:rsidP="00227C8A">
            <w:pPr>
              <w:rPr>
                <w:rFonts w:asciiTheme="majorHAnsi" w:hAnsiTheme="majorHAnsi"/>
                <w:sz w:val="24"/>
                <w:szCs w:val="24"/>
              </w:rPr>
            </w:pPr>
            <w:r>
              <w:rPr>
                <w:rFonts w:asciiTheme="majorHAnsi" w:hAnsiTheme="majorHAnsi"/>
                <w:sz w:val="24"/>
                <w:szCs w:val="24"/>
              </w:rPr>
              <w:t>Discussion on Consumer Safety and Recall of Goods</w:t>
            </w:r>
          </w:p>
        </w:tc>
        <w:tc>
          <w:tcPr>
            <w:tcW w:w="1800" w:type="dxa"/>
          </w:tcPr>
          <w:p w:rsidR="00046A8A" w:rsidRPr="00227C8A" w:rsidRDefault="00046A8A" w:rsidP="00227C8A">
            <w:pPr>
              <w:rPr>
                <w:rFonts w:asciiTheme="majorHAnsi" w:hAnsiTheme="majorHAnsi"/>
                <w:sz w:val="24"/>
                <w:szCs w:val="24"/>
              </w:rPr>
            </w:pPr>
            <w:r>
              <w:rPr>
                <w:rFonts w:asciiTheme="majorHAnsi" w:hAnsiTheme="majorHAnsi"/>
                <w:sz w:val="24"/>
                <w:szCs w:val="24"/>
              </w:rPr>
              <w:t xml:space="preserve">Staff of CCAC, Commissioners </w:t>
            </w:r>
          </w:p>
        </w:tc>
        <w:tc>
          <w:tcPr>
            <w:tcW w:w="1440" w:type="dxa"/>
          </w:tcPr>
          <w:p w:rsidR="00046A8A" w:rsidRPr="00227C8A" w:rsidRDefault="00046A8A" w:rsidP="00227C8A">
            <w:pPr>
              <w:rPr>
                <w:rFonts w:asciiTheme="majorHAnsi" w:hAnsiTheme="majorHAnsi"/>
                <w:sz w:val="24"/>
                <w:szCs w:val="24"/>
              </w:rPr>
            </w:pPr>
            <w:r>
              <w:rPr>
                <w:rFonts w:asciiTheme="majorHAnsi" w:hAnsiTheme="majorHAnsi"/>
                <w:sz w:val="24"/>
                <w:szCs w:val="24"/>
              </w:rPr>
              <w:t>January</w:t>
            </w:r>
          </w:p>
        </w:tc>
        <w:tc>
          <w:tcPr>
            <w:tcW w:w="2070" w:type="dxa"/>
          </w:tcPr>
          <w:p w:rsidR="00046A8A" w:rsidRPr="00227C8A" w:rsidRDefault="00046A8A" w:rsidP="00227C8A">
            <w:pPr>
              <w:rPr>
                <w:rFonts w:asciiTheme="majorHAnsi" w:hAnsiTheme="majorHAnsi"/>
                <w:sz w:val="24"/>
                <w:szCs w:val="24"/>
              </w:rPr>
            </w:pPr>
            <w:r>
              <w:rPr>
                <w:rFonts w:asciiTheme="majorHAnsi" w:hAnsiTheme="majorHAnsi"/>
                <w:sz w:val="24"/>
                <w:szCs w:val="24"/>
              </w:rPr>
              <w:t xml:space="preserve">Massimiliano </w:t>
            </w:r>
            <w:proofErr w:type="spellStart"/>
            <w:r>
              <w:rPr>
                <w:rFonts w:asciiTheme="majorHAnsi" w:hAnsiTheme="majorHAnsi"/>
                <w:sz w:val="24"/>
                <w:szCs w:val="24"/>
              </w:rPr>
              <w:t>Gangi</w:t>
            </w:r>
            <w:proofErr w:type="spellEnd"/>
          </w:p>
        </w:tc>
      </w:tr>
      <w:tr w:rsidR="00046A8A" w:rsidRPr="00227C8A" w:rsidTr="00227C8A">
        <w:tc>
          <w:tcPr>
            <w:tcW w:w="3798" w:type="dxa"/>
          </w:tcPr>
          <w:p w:rsidR="00046A8A" w:rsidRDefault="00046A8A" w:rsidP="00227C8A">
            <w:pPr>
              <w:rPr>
                <w:rFonts w:asciiTheme="majorHAnsi" w:hAnsiTheme="majorHAnsi"/>
                <w:sz w:val="24"/>
                <w:szCs w:val="24"/>
              </w:rPr>
            </w:pPr>
            <w:r>
              <w:rPr>
                <w:rFonts w:asciiTheme="majorHAnsi" w:hAnsiTheme="majorHAnsi"/>
                <w:sz w:val="24"/>
                <w:szCs w:val="24"/>
              </w:rPr>
              <w:t xml:space="preserve">Discussion on Misleading Advertising </w:t>
            </w:r>
          </w:p>
        </w:tc>
        <w:tc>
          <w:tcPr>
            <w:tcW w:w="1800" w:type="dxa"/>
          </w:tcPr>
          <w:p w:rsidR="00046A8A" w:rsidRDefault="00046A8A" w:rsidP="00227C8A">
            <w:pPr>
              <w:rPr>
                <w:rFonts w:asciiTheme="majorHAnsi" w:hAnsiTheme="majorHAnsi"/>
                <w:sz w:val="24"/>
                <w:szCs w:val="24"/>
              </w:rPr>
            </w:pPr>
            <w:r>
              <w:rPr>
                <w:rFonts w:asciiTheme="majorHAnsi" w:hAnsiTheme="majorHAnsi"/>
                <w:sz w:val="24"/>
                <w:szCs w:val="24"/>
              </w:rPr>
              <w:t>Staff of CCAC, Commissioners</w:t>
            </w:r>
          </w:p>
        </w:tc>
        <w:tc>
          <w:tcPr>
            <w:tcW w:w="1440" w:type="dxa"/>
          </w:tcPr>
          <w:p w:rsidR="00046A8A" w:rsidRDefault="00046A8A" w:rsidP="00227C8A">
            <w:pPr>
              <w:rPr>
                <w:rFonts w:asciiTheme="majorHAnsi" w:hAnsiTheme="majorHAnsi"/>
                <w:sz w:val="24"/>
                <w:szCs w:val="24"/>
              </w:rPr>
            </w:pPr>
            <w:r>
              <w:rPr>
                <w:rFonts w:asciiTheme="majorHAnsi" w:hAnsiTheme="majorHAnsi"/>
                <w:sz w:val="24"/>
                <w:szCs w:val="24"/>
              </w:rPr>
              <w:t>January</w:t>
            </w:r>
          </w:p>
        </w:tc>
        <w:tc>
          <w:tcPr>
            <w:tcW w:w="2070" w:type="dxa"/>
          </w:tcPr>
          <w:p w:rsidR="00046A8A" w:rsidRDefault="00046A8A" w:rsidP="00227C8A">
            <w:pPr>
              <w:rPr>
                <w:rFonts w:asciiTheme="majorHAnsi" w:hAnsiTheme="majorHAnsi"/>
                <w:sz w:val="24"/>
                <w:szCs w:val="24"/>
              </w:rPr>
            </w:pPr>
            <w:r>
              <w:rPr>
                <w:rFonts w:asciiTheme="majorHAnsi" w:hAnsiTheme="majorHAnsi"/>
                <w:sz w:val="24"/>
                <w:szCs w:val="24"/>
              </w:rPr>
              <w:t xml:space="preserve">Massimiliano </w:t>
            </w:r>
            <w:proofErr w:type="spellStart"/>
            <w:r>
              <w:rPr>
                <w:rFonts w:asciiTheme="majorHAnsi" w:hAnsiTheme="majorHAnsi"/>
                <w:sz w:val="24"/>
                <w:szCs w:val="24"/>
              </w:rPr>
              <w:t>Gangi</w:t>
            </w:r>
            <w:proofErr w:type="spellEnd"/>
          </w:p>
        </w:tc>
      </w:tr>
    </w:tbl>
    <w:p w:rsidR="00227C8A" w:rsidRPr="00227C8A" w:rsidRDefault="00227C8A" w:rsidP="00227C8A">
      <w:pPr>
        <w:rPr>
          <w:rFonts w:asciiTheme="majorHAnsi" w:hAnsiTheme="majorHAnsi"/>
          <w:sz w:val="24"/>
          <w:szCs w:val="24"/>
        </w:rPr>
      </w:pPr>
    </w:p>
    <w:p w:rsidR="00227C8A" w:rsidRDefault="00227C8A" w:rsidP="004342DA">
      <w:pPr>
        <w:pStyle w:val="Heading1"/>
      </w:pPr>
    </w:p>
    <w:p w:rsidR="00227C8A" w:rsidRDefault="00227C8A">
      <w:pPr>
        <w:rPr>
          <w:rFonts w:asciiTheme="majorHAnsi" w:eastAsiaTheme="majorEastAsia" w:hAnsiTheme="majorHAnsi" w:cstheme="majorBidi"/>
          <w:b/>
          <w:bCs/>
          <w:color w:val="365F91" w:themeColor="accent1" w:themeShade="BF"/>
          <w:sz w:val="28"/>
          <w:szCs w:val="28"/>
        </w:rPr>
      </w:pPr>
      <w:r>
        <w:br w:type="page"/>
      </w:r>
    </w:p>
    <w:p w:rsidR="004342DA" w:rsidRDefault="004342DA" w:rsidP="004342DA">
      <w:pPr>
        <w:pStyle w:val="Heading1"/>
      </w:pPr>
      <w:bookmarkStart w:id="18" w:name="_Toc346108601"/>
      <w:r>
        <w:lastRenderedPageBreak/>
        <w:t>PUBLIC AWARENESS</w:t>
      </w:r>
      <w:bookmarkEnd w:id="18"/>
    </w:p>
    <w:p w:rsidR="004342DA" w:rsidRPr="004342DA" w:rsidRDefault="004342DA" w:rsidP="004342DA">
      <w:pPr>
        <w:rPr>
          <w:rFonts w:asciiTheme="majorHAnsi" w:hAnsiTheme="majorHAnsi"/>
          <w:sz w:val="24"/>
          <w:szCs w:val="24"/>
        </w:rPr>
      </w:pPr>
      <w:r w:rsidRPr="004342DA">
        <w:rPr>
          <w:rFonts w:asciiTheme="majorHAnsi" w:hAnsiTheme="majorHAnsi"/>
          <w:sz w:val="24"/>
          <w:szCs w:val="24"/>
        </w:rPr>
        <w:t>Public Awareness has been presented in numerous forms in order to attract the widest audience. This has taken predominantly two forms, seminars presented for various sectors of the public and knowledge products.</w:t>
      </w:r>
    </w:p>
    <w:p w:rsidR="004342DA" w:rsidRDefault="004342DA" w:rsidP="004342DA">
      <w:pPr>
        <w:pStyle w:val="Heading2"/>
      </w:pPr>
      <w:bookmarkStart w:id="19" w:name="_Toc346108602"/>
      <w:r>
        <w:t>Public Awareness Seminars/Events</w:t>
      </w:r>
      <w:bookmarkEnd w:id="19"/>
    </w:p>
    <w:tbl>
      <w:tblPr>
        <w:tblStyle w:val="TableGrid"/>
        <w:tblW w:w="0" w:type="auto"/>
        <w:tblLook w:val="04A0" w:firstRow="1" w:lastRow="0" w:firstColumn="1" w:lastColumn="0" w:noHBand="0" w:noVBand="1"/>
      </w:tblPr>
      <w:tblGrid>
        <w:gridCol w:w="3192"/>
        <w:gridCol w:w="3192"/>
        <w:gridCol w:w="2094"/>
      </w:tblGrid>
      <w:tr w:rsidR="00046A8A" w:rsidTr="00227C8A">
        <w:trPr>
          <w:tblHeader/>
        </w:trPr>
        <w:tc>
          <w:tcPr>
            <w:tcW w:w="3192" w:type="dxa"/>
          </w:tcPr>
          <w:p w:rsidR="00046A8A" w:rsidRPr="004342DA" w:rsidRDefault="00046A8A" w:rsidP="004342DA">
            <w:pPr>
              <w:rPr>
                <w:rFonts w:ascii="Cambria" w:hAnsi="Cambria"/>
                <w:b/>
                <w:sz w:val="24"/>
                <w:szCs w:val="24"/>
              </w:rPr>
            </w:pPr>
            <w:r w:rsidRPr="004342DA">
              <w:rPr>
                <w:rFonts w:ascii="Cambria" w:hAnsi="Cambria"/>
                <w:b/>
                <w:sz w:val="24"/>
                <w:szCs w:val="24"/>
              </w:rPr>
              <w:t>Description</w:t>
            </w:r>
          </w:p>
        </w:tc>
        <w:tc>
          <w:tcPr>
            <w:tcW w:w="3192" w:type="dxa"/>
          </w:tcPr>
          <w:p w:rsidR="00046A8A" w:rsidRPr="004342DA" w:rsidRDefault="00046A8A" w:rsidP="004342DA">
            <w:pPr>
              <w:rPr>
                <w:rFonts w:ascii="Cambria" w:hAnsi="Cambria"/>
                <w:b/>
                <w:sz w:val="24"/>
                <w:szCs w:val="24"/>
              </w:rPr>
            </w:pPr>
            <w:r w:rsidRPr="004342DA">
              <w:rPr>
                <w:rFonts w:ascii="Cambria" w:hAnsi="Cambria"/>
                <w:b/>
                <w:sz w:val="24"/>
                <w:szCs w:val="24"/>
              </w:rPr>
              <w:t>Audience Targeted</w:t>
            </w:r>
          </w:p>
        </w:tc>
        <w:tc>
          <w:tcPr>
            <w:tcW w:w="2094" w:type="dxa"/>
          </w:tcPr>
          <w:p w:rsidR="00046A8A" w:rsidRPr="004342DA" w:rsidRDefault="00046A8A" w:rsidP="004342DA">
            <w:pPr>
              <w:rPr>
                <w:rFonts w:ascii="Cambria" w:hAnsi="Cambria"/>
                <w:b/>
                <w:sz w:val="24"/>
                <w:szCs w:val="24"/>
              </w:rPr>
            </w:pPr>
            <w:r w:rsidRPr="004342DA">
              <w:rPr>
                <w:rFonts w:ascii="Cambria" w:hAnsi="Cambria"/>
                <w:b/>
                <w:sz w:val="24"/>
                <w:szCs w:val="24"/>
              </w:rPr>
              <w:t>Date</w:t>
            </w:r>
          </w:p>
        </w:tc>
      </w:tr>
      <w:tr w:rsidR="00046A8A" w:rsidTr="00227C8A">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Presentation on Warranties presented twice</w:t>
            </w:r>
          </w:p>
        </w:tc>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Cell phone suppliers/staff of Guyana National Bureau of Standards</w:t>
            </w:r>
          </w:p>
        </w:tc>
        <w:tc>
          <w:tcPr>
            <w:tcW w:w="2094" w:type="dxa"/>
          </w:tcPr>
          <w:p w:rsidR="00046A8A" w:rsidRPr="004342DA" w:rsidRDefault="00046A8A" w:rsidP="004342DA">
            <w:pPr>
              <w:rPr>
                <w:rFonts w:ascii="Cambria" w:hAnsi="Cambria"/>
                <w:sz w:val="24"/>
                <w:szCs w:val="24"/>
              </w:rPr>
            </w:pPr>
            <w:r w:rsidRPr="004342DA">
              <w:rPr>
                <w:rFonts w:ascii="Cambria" w:hAnsi="Cambria"/>
                <w:sz w:val="24"/>
                <w:szCs w:val="24"/>
              </w:rPr>
              <w:t>April 2012</w:t>
            </w:r>
          </w:p>
        </w:tc>
      </w:tr>
      <w:tr w:rsidR="00046A8A" w:rsidTr="00227C8A">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TV Program: Guyana Today</w:t>
            </w:r>
          </w:p>
        </w:tc>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General Public</w:t>
            </w:r>
          </w:p>
        </w:tc>
        <w:tc>
          <w:tcPr>
            <w:tcW w:w="2094" w:type="dxa"/>
          </w:tcPr>
          <w:p w:rsidR="00046A8A" w:rsidRPr="004342DA" w:rsidRDefault="00046A8A" w:rsidP="004342DA">
            <w:pPr>
              <w:rPr>
                <w:rFonts w:ascii="Cambria" w:hAnsi="Cambria"/>
                <w:sz w:val="24"/>
                <w:szCs w:val="24"/>
              </w:rPr>
            </w:pPr>
            <w:r w:rsidRPr="004342DA">
              <w:rPr>
                <w:rFonts w:ascii="Cambria" w:hAnsi="Cambria"/>
                <w:sz w:val="24"/>
                <w:szCs w:val="24"/>
              </w:rPr>
              <w:t>August 2012</w:t>
            </w:r>
          </w:p>
        </w:tc>
      </w:tr>
      <w:tr w:rsidR="00046A8A" w:rsidTr="00227C8A">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Seminar on Goals of Competition Law and the CFTA</w:t>
            </w:r>
          </w:p>
        </w:tc>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Businesses</w:t>
            </w:r>
          </w:p>
        </w:tc>
        <w:tc>
          <w:tcPr>
            <w:tcW w:w="2094" w:type="dxa"/>
          </w:tcPr>
          <w:p w:rsidR="00046A8A" w:rsidRPr="004342DA" w:rsidRDefault="00046A8A" w:rsidP="004342DA">
            <w:pPr>
              <w:rPr>
                <w:rFonts w:ascii="Cambria" w:hAnsi="Cambria"/>
                <w:sz w:val="24"/>
                <w:szCs w:val="24"/>
              </w:rPr>
            </w:pPr>
            <w:r w:rsidRPr="004342DA">
              <w:rPr>
                <w:rFonts w:ascii="Cambria" w:hAnsi="Cambria"/>
                <w:sz w:val="24"/>
                <w:szCs w:val="24"/>
              </w:rPr>
              <w:t>August 2012</w:t>
            </w:r>
          </w:p>
        </w:tc>
      </w:tr>
      <w:tr w:rsidR="00046A8A" w:rsidTr="00227C8A">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Guy Expo</w:t>
            </w:r>
          </w:p>
        </w:tc>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Businesses/Consumers</w:t>
            </w:r>
          </w:p>
        </w:tc>
        <w:tc>
          <w:tcPr>
            <w:tcW w:w="2094" w:type="dxa"/>
          </w:tcPr>
          <w:p w:rsidR="00046A8A" w:rsidRPr="004342DA" w:rsidRDefault="00046A8A" w:rsidP="004342DA">
            <w:pPr>
              <w:rPr>
                <w:rFonts w:ascii="Cambria" w:hAnsi="Cambria"/>
                <w:sz w:val="24"/>
                <w:szCs w:val="24"/>
              </w:rPr>
            </w:pPr>
            <w:r w:rsidRPr="004342DA">
              <w:rPr>
                <w:rFonts w:ascii="Cambria" w:hAnsi="Cambria"/>
                <w:sz w:val="24"/>
                <w:szCs w:val="24"/>
              </w:rPr>
              <w:t>September 2012</w:t>
            </w:r>
          </w:p>
        </w:tc>
      </w:tr>
      <w:tr w:rsidR="00046A8A" w:rsidTr="00227C8A">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TV Program: Consumer Affairs &amp; You</w:t>
            </w:r>
          </w:p>
        </w:tc>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Businesses/Consumers</w:t>
            </w:r>
          </w:p>
        </w:tc>
        <w:tc>
          <w:tcPr>
            <w:tcW w:w="2094" w:type="dxa"/>
          </w:tcPr>
          <w:p w:rsidR="00046A8A" w:rsidRPr="004342DA" w:rsidRDefault="00046A8A" w:rsidP="004342DA">
            <w:pPr>
              <w:rPr>
                <w:rFonts w:ascii="Cambria" w:hAnsi="Cambria"/>
                <w:sz w:val="24"/>
                <w:szCs w:val="24"/>
              </w:rPr>
            </w:pPr>
            <w:r w:rsidRPr="004342DA">
              <w:rPr>
                <w:rFonts w:ascii="Cambria" w:hAnsi="Cambria"/>
                <w:sz w:val="24"/>
                <w:szCs w:val="24"/>
              </w:rPr>
              <w:t>September 2012</w:t>
            </w:r>
          </w:p>
        </w:tc>
      </w:tr>
      <w:tr w:rsidR="00046A8A" w:rsidTr="00227C8A">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Seminar on the Consumer Affairs Act and What it Means for Businesses</w:t>
            </w:r>
          </w:p>
        </w:tc>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Businesses</w:t>
            </w:r>
          </w:p>
        </w:tc>
        <w:tc>
          <w:tcPr>
            <w:tcW w:w="2094" w:type="dxa"/>
          </w:tcPr>
          <w:p w:rsidR="00046A8A" w:rsidRPr="004342DA" w:rsidRDefault="00046A8A" w:rsidP="004342DA">
            <w:pPr>
              <w:rPr>
                <w:rFonts w:ascii="Cambria" w:hAnsi="Cambria"/>
                <w:sz w:val="24"/>
                <w:szCs w:val="24"/>
              </w:rPr>
            </w:pPr>
            <w:r w:rsidRPr="004342DA">
              <w:rPr>
                <w:rFonts w:ascii="Cambria" w:hAnsi="Cambria"/>
                <w:sz w:val="24"/>
                <w:szCs w:val="24"/>
              </w:rPr>
              <w:t>October 2012</w:t>
            </w:r>
          </w:p>
        </w:tc>
      </w:tr>
      <w:tr w:rsidR="00046A8A" w:rsidTr="00227C8A">
        <w:tc>
          <w:tcPr>
            <w:tcW w:w="3192" w:type="dxa"/>
          </w:tcPr>
          <w:p w:rsidR="00046A8A" w:rsidRPr="004342DA" w:rsidRDefault="00046A8A" w:rsidP="004342DA">
            <w:pPr>
              <w:rPr>
                <w:rFonts w:ascii="Cambria" w:hAnsi="Cambria"/>
                <w:sz w:val="24"/>
                <w:szCs w:val="24"/>
              </w:rPr>
            </w:pPr>
            <w:r>
              <w:rPr>
                <w:rFonts w:ascii="Cambria" w:hAnsi="Cambria"/>
                <w:sz w:val="24"/>
                <w:szCs w:val="24"/>
              </w:rPr>
              <w:t>TV Program: The Factor</w:t>
            </w:r>
          </w:p>
        </w:tc>
        <w:tc>
          <w:tcPr>
            <w:tcW w:w="3192" w:type="dxa"/>
          </w:tcPr>
          <w:p w:rsidR="00046A8A" w:rsidRPr="004342DA" w:rsidRDefault="00046A8A" w:rsidP="004342DA">
            <w:pPr>
              <w:rPr>
                <w:rFonts w:ascii="Cambria" w:hAnsi="Cambria"/>
                <w:sz w:val="24"/>
                <w:szCs w:val="24"/>
              </w:rPr>
            </w:pPr>
            <w:r>
              <w:rPr>
                <w:rFonts w:ascii="Cambria" w:hAnsi="Cambria"/>
                <w:sz w:val="24"/>
                <w:szCs w:val="24"/>
              </w:rPr>
              <w:t>General Public</w:t>
            </w:r>
          </w:p>
        </w:tc>
        <w:tc>
          <w:tcPr>
            <w:tcW w:w="2094" w:type="dxa"/>
          </w:tcPr>
          <w:p w:rsidR="00046A8A" w:rsidRPr="004342DA" w:rsidRDefault="00046A8A" w:rsidP="004342DA">
            <w:pPr>
              <w:rPr>
                <w:rFonts w:ascii="Cambria" w:hAnsi="Cambria"/>
                <w:sz w:val="24"/>
                <w:szCs w:val="24"/>
              </w:rPr>
            </w:pPr>
            <w:r>
              <w:rPr>
                <w:rFonts w:ascii="Cambria" w:hAnsi="Cambria"/>
                <w:sz w:val="24"/>
                <w:szCs w:val="24"/>
              </w:rPr>
              <w:t>October 2012</w:t>
            </w:r>
          </w:p>
        </w:tc>
      </w:tr>
      <w:tr w:rsidR="00046A8A" w:rsidTr="00227C8A">
        <w:tc>
          <w:tcPr>
            <w:tcW w:w="3192" w:type="dxa"/>
          </w:tcPr>
          <w:p w:rsidR="00046A8A" w:rsidRPr="004342DA" w:rsidRDefault="00046A8A" w:rsidP="004342DA">
            <w:pPr>
              <w:rPr>
                <w:rFonts w:ascii="Cambria" w:hAnsi="Cambria"/>
                <w:sz w:val="24"/>
                <w:szCs w:val="24"/>
              </w:rPr>
            </w:pPr>
            <w:r>
              <w:rPr>
                <w:rFonts w:ascii="Cambria" w:hAnsi="Cambria"/>
                <w:sz w:val="24"/>
                <w:szCs w:val="24"/>
              </w:rPr>
              <w:t xml:space="preserve">Radio Program: Let’s </w:t>
            </w:r>
            <w:proofErr w:type="spellStart"/>
            <w:r>
              <w:rPr>
                <w:rFonts w:ascii="Cambria" w:hAnsi="Cambria"/>
                <w:sz w:val="24"/>
                <w:szCs w:val="24"/>
              </w:rPr>
              <w:t>Gyaff</w:t>
            </w:r>
            <w:proofErr w:type="spellEnd"/>
          </w:p>
        </w:tc>
        <w:tc>
          <w:tcPr>
            <w:tcW w:w="3192" w:type="dxa"/>
          </w:tcPr>
          <w:p w:rsidR="00046A8A" w:rsidRPr="004342DA" w:rsidRDefault="00046A8A" w:rsidP="004342DA">
            <w:pPr>
              <w:rPr>
                <w:rFonts w:ascii="Cambria" w:hAnsi="Cambria"/>
                <w:sz w:val="24"/>
                <w:szCs w:val="24"/>
              </w:rPr>
            </w:pPr>
            <w:r>
              <w:rPr>
                <w:rFonts w:ascii="Cambria" w:hAnsi="Cambria"/>
                <w:sz w:val="24"/>
                <w:szCs w:val="24"/>
              </w:rPr>
              <w:t>General Public</w:t>
            </w:r>
          </w:p>
        </w:tc>
        <w:tc>
          <w:tcPr>
            <w:tcW w:w="2094" w:type="dxa"/>
          </w:tcPr>
          <w:p w:rsidR="00046A8A" w:rsidRPr="004342DA" w:rsidRDefault="00046A8A" w:rsidP="004342DA">
            <w:pPr>
              <w:rPr>
                <w:rFonts w:ascii="Cambria" w:hAnsi="Cambria"/>
                <w:sz w:val="24"/>
                <w:szCs w:val="24"/>
              </w:rPr>
            </w:pPr>
            <w:r>
              <w:rPr>
                <w:rFonts w:ascii="Cambria" w:hAnsi="Cambria"/>
                <w:sz w:val="24"/>
                <w:szCs w:val="24"/>
              </w:rPr>
              <w:t>October 2012</w:t>
            </w:r>
          </w:p>
        </w:tc>
      </w:tr>
      <w:tr w:rsidR="00046A8A" w:rsidTr="00227C8A">
        <w:tc>
          <w:tcPr>
            <w:tcW w:w="3192" w:type="dxa"/>
          </w:tcPr>
          <w:p w:rsidR="00046A8A" w:rsidRDefault="00046A8A" w:rsidP="004342DA">
            <w:pPr>
              <w:rPr>
                <w:rFonts w:ascii="Cambria" w:hAnsi="Cambria"/>
                <w:sz w:val="24"/>
                <w:szCs w:val="24"/>
              </w:rPr>
            </w:pPr>
            <w:r>
              <w:rPr>
                <w:rFonts w:ascii="Cambria" w:hAnsi="Cambria"/>
                <w:sz w:val="24"/>
                <w:szCs w:val="24"/>
              </w:rPr>
              <w:t>Presentation at the Berbice Chamber of Commerce</w:t>
            </w:r>
          </w:p>
        </w:tc>
        <w:tc>
          <w:tcPr>
            <w:tcW w:w="3192" w:type="dxa"/>
          </w:tcPr>
          <w:p w:rsidR="00046A8A" w:rsidRDefault="00046A8A" w:rsidP="004342DA">
            <w:pPr>
              <w:rPr>
                <w:rFonts w:ascii="Cambria" w:hAnsi="Cambria"/>
                <w:sz w:val="24"/>
                <w:szCs w:val="24"/>
              </w:rPr>
            </w:pPr>
            <w:r>
              <w:rPr>
                <w:rFonts w:ascii="Cambria" w:hAnsi="Cambria"/>
                <w:sz w:val="24"/>
                <w:szCs w:val="24"/>
              </w:rPr>
              <w:t>Small and Medium Sized Enterprises</w:t>
            </w:r>
          </w:p>
        </w:tc>
        <w:tc>
          <w:tcPr>
            <w:tcW w:w="2094" w:type="dxa"/>
          </w:tcPr>
          <w:p w:rsidR="00046A8A" w:rsidRDefault="00046A8A" w:rsidP="004342DA">
            <w:pPr>
              <w:rPr>
                <w:rFonts w:ascii="Cambria" w:hAnsi="Cambria"/>
                <w:sz w:val="24"/>
                <w:szCs w:val="24"/>
              </w:rPr>
            </w:pPr>
            <w:r>
              <w:rPr>
                <w:rFonts w:ascii="Cambria" w:hAnsi="Cambria"/>
                <w:sz w:val="24"/>
                <w:szCs w:val="24"/>
              </w:rPr>
              <w:t>October 2012</w:t>
            </w:r>
          </w:p>
        </w:tc>
      </w:tr>
      <w:tr w:rsidR="00046A8A" w:rsidTr="00227C8A">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Seminar, Consumer Protection in the Financial Sector</w:t>
            </w:r>
          </w:p>
        </w:tc>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Banks/Insurance Companies</w:t>
            </w:r>
          </w:p>
        </w:tc>
        <w:tc>
          <w:tcPr>
            <w:tcW w:w="2094" w:type="dxa"/>
          </w:tcPr>
          <w:p w:rsidR="00046A8A" w:rsidRPr="004342DA" w:rsidRDefault="00046A8A" w:rsidP="004342DA">
            <w:pPr>
              <w:rPr>
                <w:rFonts w:ascii="Cambria" w:hAnsi="Cambria"/>
                <w:sz w:val="24"/>
                <w:szCs w:val="24"/>
              </w:rPr>
            </w:pPr>
            <w:r w:rsidRPr="004342DA">
              <w:rPr>
                <w:rFonts w:ascii="Cambria" w:hAnsi="Cambria"/>
                <w:sz w:val="24"/>
                <w:szCs w:val="24"/>
              </w:rPr>
              <w:t>November 2012</w:t>
            </w:r>
          </w:p>
        </w:tc>
      </w:tr>
      <w:tr w:rsidR="00046A8A" w:rsidTr="00227C8A">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Legal Consultation on Consumer Regulation</w:t>
            </w:r>
          </w:p>
        </w:tc>
        <w:tc>
          <w:tcPr>
            <w:tcW w:w="3192" w:type="dxa"/>
          </w:tcPr>
          <w:p w:rsidR="00046A8A" w:rsidRPr="004342DA" w:rsidRDefault="00046A8A" w:rsidP="004342DA">
            <w:pPr>
              <w:rPr>
                <w:rFonts w:ascii="Cambria" w:hAnsi="Cambria"/>
                <w:sz w:val="24"/>
                <w:szCs w:val="24"/>
              </w:rPr>
            </w:pPr>
            <w:r w:rsidRPr="004342DA">
              <w:rPr>
                <w:rFonts w:ascii="Cambria" w:hAnsi="Cambria"/>
                <w:sz w:val="24"/>
                <w:szCs w:val="24"/>
              </w:rPr>
              <w:t>Lawyers</w:t>
            </w:r>
          </w:p>
        </w:tc>
        <w:tc>
          <w:tcPr>
            <w:tcW w:w="2094" w:type="dxa"/>
          </w:tcPr>
          <w:p w:rsidR="00046A8A" w:rsidRPr="004342DA" w:rsidRDefault="00046A8A" w:rsidP="004342DA">
            <w:pPr>
              <w:rPr>
                <w:rFonts w:ascii="Cambria" w:hAnsi="Cambria"/>
                <w:sz w:val="24"/>
                <w:szCs w:val="24"/>
              </w:rPr>
            </w:pPr>
            <w:r w:rsidRPr="004342DA">
              <w:rPr>
                <w:rFonts w:ascii="Cambria" w:hAnsi="Cambria"/>
                <w:sz w:val="24"/>
                <w:szCs w:val="24"/>
              </w:rPr>
              <w:t>November 2012</w:t>
            </w:r>
          </w:p>
        </w:tc>
      </w:tr>
      <w:tr w:rsidR="00046A8A" w:rsidTr="00227C8A">
        <w:tc>
          <w:tcPr>
            <w:tcW w:w="3192" w:type="dxa"/>
          </w:tcPr>
          <w:p w:rsidR="00046A8A" w:rsidRPr="004342DA" w:rsidRDefault="00046A8A" w:rsidP="004342DA">
            <w:pPr>
              <w:rPr>
                <w:rFonts w:ascii="Cambria" w:hAnsi="Cambria"/>
                <w:sz w:val="24"/>
                <w:szCs w:val="24"/>
              </w:rPr>
            </w:pPr>
            <w:r>
              <w:rPr>
                <w:rFonts w:ascii="Cambria" w:hAnsi="Cambria"/>
                <w:sz w:val="24"/>
                <w:szCs w:val="24"/>
              </w:rPr>
              <w:t>Consumer Protection Seminar for the Auto Industry</w:t>
            </w:r>
          </w:p>
        </w:tc>
        <w:tc>
          <w:tcPr>
            <w:tcW w:w="3192" w:type="dxa"/>
          </w:tcPr>
          <w:p w:rsidR="00046A8A" w:rsidRPr="004342DA" w:rsidRDefault="00046A8A" w:rsidP="004342DA">
            <w:pPr>
              <w:rPr>
                <w:rFonts w:ascii="Cambria" w:hAnsi="Cambria"/>
                <w:sz w:val="24"/>
                <w:szCs w:val="24"/>
              </w:rPr>
            </w:pPr>
            <w:r>
              <w:rPr>
                <w:rFonts w:ascii="Cambria" w:hAnsi="Cambria"/>
                <w:sz w:val="24"/>
                <w:szCs w:val="24"/>
              </w:rPr>
              <w:t>Auto Suppliers and Auto Part Dealers</w:t>
            </w:r>
          </w:p>
        </w:tc>
        <w:tc>
          <w:tcPr>
            <w:tcW w:w="2094" w:type="dxa"/>
          </w:tcPr>
          <w:p w:rsidR="00046A8A" w:rsidRPr="004342DA" w:rsidRDefault="00046A8A" w:rsidP="004342DA">
            <w:pPr>
              <w:rPr>
                <w:rFonts w:ascii="Cambria" w:hAnsi="Cambria"/>
                <w:sz w:val="24"/>
                <w:szCs w:val="24"/>
              </w:rPr>
            </w:pPr>
            <w:r>
              <w:rPr>
                <w:rFonts w:ascii="Cambria" w:hAnsi="Cambria"/>
                <w:sz w:val="24"/>
                <w:szCs w:val="24"/>
              </w:rPr>
              <w:t>January 2013</w:t>
            </w:r>
          </w:p>
        </w:tc>
      </w:tr>
    </w:tbl>
    <w:p w:rsidR="00DA33A6" w:rsidRDefault="00DA33A6" w:rsidP="00DA33A6">
      <w:pPr>
        <w:pStyle w:val="Heading2"/>
        <w:spacing w:before="0" w:line="240" w:lineRule="auto"/>
      </w:pPr>
    </w:p>
    <w:p w:rsidR="00227C8A" w:rsidRDefault="00227C8A" w:rsidP="00DA33A6">
      <w:pPr>
        <w:pStyle w:val="Heading2"/>
        <w:spacing w:before="0" w:line="240" w:lineRule="auto"/>
      </w:pPr>
    </w:p>
    <w:p w:rsidR="004342DA" w:rsidRDefault="004342DA" w:rsidP="00DA33A6">
      <w:pPr>
        <w:pStyle w:val="Heading2"/>
        <w:spacing w:before="0" w:line="240" w:lineRule="auto"/>
      </w:pPr>
      <w:bookmarkStart w:id="20" w:name="_Toc346108603"/>
      <w:r>
        <w:t>Knowledge Product</w:t>
      </w:r>
      <w:r w:rsidR="00DA33A6">
        <w:t>s</w:t>
      </w:r>
      <w:bookmarkEnd w:id="20"/>
    </w:p>
    <w:tbl>
      <w:tblPr>
        <w:tblStyle w:val="TableGrid"/>
        <w:tblW w:w="0" w:type="auto"/>
        <w:tblLook w:val="04A0" w:firstRow="1" w:lastRow="0" w:firstColumn="1" w:lastColumn="0" w:noHBand="0" w:noVBand="1"/>
      </w:tblPr>
      <w:tblGrid>
        <w:gridCol w:w="3767"/>
        <w:gridCol w:w="2425"/>
        <w:gridCol w:w="3092"/>
      </w:tblGrid>
      <w:tr w:rsidR="00046A8A" w:rsidTr="00227C8A">
        <w:tc>
          <w:tcPr>
            <w:tcW w:w="3767" w:type="dxa"/>
          </w:tcPr>
          <w:p w:rsidR="00046A8A" w:rsidRPr="004342DA" w:rsidRDefault="00046A8A" w:rsidP="00272BF6">
            <w:pPr>
              <w:rPr>
                <w:rFonts w:ascii="Cambria" w:hAnsi="Cambria"/>
                <w:b/>
                <w:sz w:val="24"/>
                <w:szCs w:val="24"/>
              </w:rPr>
            </w:pPr>
            <w:r w:rsidRPr="004342DA">
              <w:rPr>
                <w:rFonts w:ascii="Cambria" w:hAnsi="Cambria"/>
                <w:b/>
                <w:sz w:val="24"/>
                <w:szCs w:val="24"/>
              </w:rPr>
              <w:t>Description</w:t>
            </w:r>
          </w:p>
        </w:tc>
        <w:tc>
          <w:tcPr>
            <w:tcW w:w="2425" w:type="dxa"/>
          </w:tcPr>
          <w:p w:rsidR="00046A8A" w:rsidRPr="004342DA" w:rsidRDefault="00046A8A" w:rsidP="00272BF6">
            <w:pPr>
              <w:rPr>
                <w:rFonts w:ascii="Cambria" w:hAnsi="Cambria"/>
                <w:b/>
                <w:sz w:val="24"/>
                <w:szCs w:val="24"/>
              </w:rPr>
            </w:pPr>
            <w:r w:rsidRPr="004342DA">
              <w:rPr>
                <w:rFonts w:ascii="Cambria" w:hAnsi="Cambria"/>
                <w:b/>
                <w:sz w:val="24"/>
                <w:szCs w:val="24"/>
              </w:rPr>
              <w:t>Audience Targeted</w:t>
            </w:r>
          </w:p>
        </w:tc>
        <w:tc>
          <w:tcPr>
            <w:tcW w:w="3092" w:type="dxa"/>
          </w:tcPr>
          <w:p w:rsidR="00046A8A" w:rsidRPr="004342DA" w:rsidRDefault="00046A8A" w:rsidP="00272BF6">
            <w:pPr>
              <w:rPr>
                <w:rFonts w:ascii="Cambria" w:hAnsi="Cambria"/>
                <w:b/>
                <w:sz w:val="24"/>
                <w:szCs w:val="24"/>
              </w:rPr>
            </w:pPr>
            <w:r w:rsidRPr="004342DA">
              <w:rPr>
                <w:rFonts w:ascii="Cambria" w:hAnsi="Cambria"/>
                <w:b/>
                <w:sz w:val="24"/>
                <w:szCs w:val="24"/>
              </w:rPr>
              <w:t>Date</w:t>
            </w:r>
          </w:p>
        </w:tc>
      </w:tr>
      <w:tr w:rsidR="00046A8A" w:rsidRPr="004342DA" w:rsidTr="00227C8A">
        <w:tc>
          <w:tcPr>
            <w:tcW w:w="3767" w:type="dxa"/>
          </w:tcPr>
          <w:p w:rsidR="00046A8A" w:rsidRPr="004342DA" w:rsidRDefault="00046A8A" w:rsidP="00272BF6">
            <w:pPr>
              <w:rPr>
                <w:rFonts w:ascii="Cambria" w:hAnsi="Cambria"/>
                <w:sz w:val="24"/>
                <w:szCs w:val="24"/>
              </w:rPr>
            </w:pPr>
            <w:r w:rsidRPr="004342DA">
              <w:rPr>
                <w:rFonts w:ascii="Cambria" w:hAnsi="Cambria"/>
                <w:sz w:val="24"/>
                <w:szCs w:val="24"/>
              </w:rPr>
              <w:t>Over 30 newspaper articles</w:t>
            </w:r>
          </w:p>
        </w:tc>
        <w:tc>
          <w:tcPr>
            <w:tcW w:w="2425" w:type="dxa"/>
          </w:tcPr>
          <w:p w:rsidR="00046A8A" w:rsidRPr="004342DA" w:rsidRDefault="00046A8A" w:rsidP="00272BF6">
            <w:pPr>
              <w:rPr>
                <w:rFonts w:ascii="Cambria" w:hAnsi="Cambria"/>
                <w:sz w:val="24"/>
                <w:szCs w:val="24"/>
              </w:rPr>
            </w:pPr>
            <w:r w:rsidRPr="004342DA">
              <w:rPr>
                <w:rFonts w:ascii="Cambria" w:hAnsi="Cambria"/>
                <w:sz w:val="24"/>
                <w:szCs w:val="24"/>
              </w:rPr>
              <w:t>Consumers and Businesses</w:t>
            </w:r>
          </w:p>
        </w:tc>
        <w:tc>
          <w:tcPr>
            <w:tcW w:w="3092" w:type="dxa"/>
          </w:tcPr>
          <w:p w:rsidR="00046A8A" w:rsidRPr="004342DA" w:rsidRDefault="00046A8A" w:rsidP="00272BF6">
            <w:pPr>
              <w:rPr>
                <w:rFonts w:ascii="Cambria" w:hAnsi="Cambria"/>
                <w:sz w:val="24"/>
                <w:szCs w:val="24"/>
              </w:rPr>
            </w:pPr>
            <w:r w:rsidRPr="004342DA">
              <w:rPr>
                <w:rFonts w:ascii="Cambria" w:hAnsi="Cambria"/>
                <w:sz w:val="24"/>
                <w:szCs w:val="24"/>
              </w:rPr>
              <w:t>February through October 2012</w:t>
            </w:r>
          </w:p>
        </w:tc>
      </w:tr>
      <w:tr w:rsidR="00046A8A" w:rsidRPr="004342DA" w:rsidTr="00227C8A">
        <w:tc>
          <w:tcPr>
            <w:tcW w:w="3767" w:type="dxa"/>
          </w:tcPr>
          <w:p w:rsidR="00046A8A" w:rsidRPr="004342DA" w:rsidRDefault="00046A8A" w:rsidP="00272BF6">
            <w:pPr>
              <w:rPr>
                <w:rFonts w:ascii="Cambria" w:hAnsi="Cambria"/>
                <w:sz w:val="24"/>
                <w:szCs w:val="24"/>
              </w:rPr>
            </w:pPr>
            <w:r w:rsidRPr="004342DA">
              <w:rPr>
                <w:rFonts w:ascii="Cambria" w:hAnsi="Cambria"/>
                <w:sz w:val="24"/>
                <w:szCs w:val="24"/>
              </w:rPr>
              <w:t>Article in Georgetown Chamber of Commerce’s Annual Business Magazine</w:t>
            </w:r>
          </w:p>
        </w:tc>
        <w:tc>
          <w:tcPr>
            <w:tcW w:w="2425" w:type="dxa"/>
          </w:tcPr>
          <w:p w:rsidR="00046A8A" w:rsidRPr="004342DA" w:rsidRDefault="00046A8A" w:rsidP="00272BF6">
            <w:pPr>
              <w:rPr>
                <w:rFonts w:ascii="Cambria" w:hAnsi="Cambria"/>
                <w:sz w:val="24"/>
                <w:szCs w:val="24"/>
              </w:rPr>
            </w:pPr>
            <w:r w:rsidRPr="004342DA">
              <w:rPr>
                <w:rFonts w:ascii="Cambria" w:hAnsi="Cambria"/>
                <w:sz w:val="24"/>
                <w:szCs w:val="24"/>
              </w:rPr>
              <w:t>Investors/Businesses</w:t>
            </w:r>
          </w:p>
        </w:tc>
        <w:tc>
          <w:tcPr>
            <w:tcW w:w="3092" w:type="dxa"/>
          </w:tcPr>
          <w:p w:rsidR="00046A8A" w:rsidRPr="004342DA" w:rsidRDefault="00046A8A" w:rsidP="00272BF6">
            <w:pPr>
              <w:rPr>
                <w:rFonts w:ascii="Cambria" w:hAnsi="Cambria"/>
                <w:sz w:val="24"/>
                <w:szCs w:val="24"/>
              </w:rPr>
            </w:pPr>
            <w:r w:rsidRPr="004342DA">
              <w:rPr>
                <w:rFonts w:ascii="Cambria" w:hAnsi="Cambria"/>
                <w:sz w:val="24"/>
                <w:szCs w:val="24"/>
              </w:rPr>
              <w:t>July 2012</w:t>
            </w:r>
          </w:p>
        </w:tc>
      </w:tr>
      <w:tr w:rsidR="00046A8A" w:rsidRPr="004342DA" w:rsidTr="00227C8A">
        <w:tc>
          <w:tcPr>
            <w:tcW w:w="3767" w:type="dxa"/>
          </w:tcPr>
          <w:p w:rsidR="00046A8A" w:rsidRPr="004342DA" w:rsidRDefault="00046A8A" w:rsidP="00272BF6">
            <w:pPr>
              <w:rPr>
                <w:rFonts w:ascii="Cambria" w:hAnsi="Cambria"/>
                <w:sz w:val="24"/>
                <w:szCs w:val="24"/>
              </w:rPr>
            </w:pPr>
            <w:r w:rsidRPr="004342DA">
              <w:rPr>
                <w:rFonts w:ascii="Cambria" w:hAnsi="Cambria"/>
                <w:sz w:val="24"/>
                <w:szCs w:val="24"/>
              </w:rPr>
              <w:t>Brochure on the Competition and Consumer Affairs Commission</w:t>
            </w:r>
          </w:p>
        </w:tc>
        <w:tc>
          <w:tcPr>
            <w:tcW w:w="2425" w:type="dxa"/>
          </w:tcPr>
          <w:p w:rsidR="00046A8A" w:rsidRPr="004342DA" w:rsidRDefault="00046A8A" w:rsidP="00272BF6">
            <w:pPr>
              <w:rPr>
                <w:rFonts w:ascii="Cambria" w:hAnsi="Cambria"/>
                <w:sz w:val="24"/>
                <w:szCs w:val="24"/>
              </w:rPr>
            </w:pPr>
            <w:r w:rsidRPr="004342DA">
              <w:rPr>
                <w:rFonts w:ascii="Cambria" w:hAnsi="Cambria"/>
                <w:sz w:val="24"/>
                <w:szCs w:val="24"/>
              </w:rPr>
              <w:t>General Public</w:t>
            </w:r>
          </w:p>
        </w:tc>
        <w:tc>
          <w:tcPr>
            <w:tcW w:w="3092" w:type="dxa"/>
          </w:tcPr>
          <w:p w:rsidR="00046A8A" w:rsidRPr="004342DA" w:rsidRDefault="00046A8A" w:rsidP="00272BF6">
            <w:pPr>
              <w:rPr>
                <w:rFonts w:ascii="Cambria" w:hAnsi="Cambria"/>
                <w:sz w:val="24"/>
                <w:szCs w:val="24"/>
              </w:rPr>
            </w:pPr>
            <w:r w:rsidRPr="004342DA">
              <w:rPr>
                <w:rFonts w:ascii="Cambria" w:hAnsi="Cambria"/>
                <w:sz w:val="24"/>
                <w:szCs w:val="24"/>
              </w:rPr>
              <w:t>September 2012</w:t>
            </w:r>
          </w:p>
        </w:tc>
      </w:tr>
      <w:tr w:rsidR="00046A8A" w:rsidRPr="004342DA" w:rsidTr="00227C8A">
        <w:tc>
          <w:tcPr>
            <w:tcW w:w="3767" w:type="dxa"/>
          </w:tcPr>
          <w:p w:rsidR="00046A8A" w:rsidRPr="004342DA" w:rsidRDefault="00046A8A" w:rsidP="00272BF6">
            <w:pPr>
              <w:rPr>
                <w:rFonts w:ascii="Cambria" w:hAnsi="Cambria"/>
                <w:sz w:val="24"/>
                <w:szCs w:val="24"/>
              </w:rPr>
            </w:pPr>
            <w:r w:rsidRPr="004342DA">
              <w:rPr>
                <w:rFonts w:ascii="Cambria" w:hAnsi="Cambria"/>
                <w:sz w:val="24"/>
                <w:szCs w:val="24"/>
              </w:rPr>
              <w:t xml:space="preserve">Four brochures on Competition and </w:t>
            </w:r>
            <w:proofErr w:type="gramStart"/>
            <w:r w:rsidRPr="004342DA">
              <w:rPr>
                <w:rFonts w:ascii="Cambria" w:hAnsi="Cambria"/>
                <w:sz w:val="24"/>
                <w:szCs w:val="24"/>
              </w:rPr>
              <w:t>Fair Trading</w:t>
            </w:r>
            <w:proofErr w:type="gramEnd"/>
            <w:r w:rsidRPr="004342DA">
              <w:rPr>
                <w:rFonts w:ascii="Cambria" w:hAnsi="Cambria"/>
                <w:sz w:val="24"/>
                <w:szCs w:val="24"/>
              </w:rPr>
              <w:t xml:space="preserve"> Act, 2006</w:t>
            </w:r>
          </w:p>
          <w:p w:rsidR="00046A8A" w:rsidRPr="004342DA" w:rsidRDefault="00046A8A" w:rsidP="004342DA">
            <w:pPr>
              <w:pStyle w:val="ListParagraph"/>
              <w:numPr>
                <w:ilvl w:val="0"/>
                <w:numId w:val="2"/>
              </w:numPr>
              <w:rPr>
                <w:rFonts w:ascii="Cambria" w:hAnsi="Cambria"/>
                <w:sz w:val="24"/>
                <w:szCs w:val="24"/>
              </w:rPr>
            </w:pPr>
            <w:r w:rsidRPr="004342DA">
              <w:rPr>
                <w:rFonts w:ascii="Cambria" w:hAnsi="Cambria"/>
                <w:sz w:val="24"/>
                <w:szCs w:val="24"/>
              </w:rPr>
              <w:t>Abuse of Dominance</w:t>
            </w:r>
          </w:p>
          <w:p w:rsidR="00046A8A" w:rsidRPr="004342DA" w:rsidRDefault="00046A8A" w:rsidP="004342DA">
            <w:pPr>
              <w:pStyle w:val="ListParagraph"/>
              <w:numPr>
                <w:ilvl w:val="0"/>
                <w:numId w:val="2"/>
              </w:numPr>
              <w:rPr>
                <w:rFonts w:ascii="Cambria" w:hAnsi="Cambria"/>
                <w:sz w:val="24"/>
                <w:szCs w:val="24"/>
              </w:rPr>
            </w:pPr>
            <w:r w:rsidRPr="004342DA">
              <w:rPr>
                <w:rFonts w:ascii="Cambria" w:hAnsi="Cambria"/>
                <w:sz w:val="24"/>
                <w:szCs w:val="24"/>
              </w:rPr>
              <w:t>Anti-Competitive Agreements</w:t>
            </w:r>
          </w:p>
          <w:p w:rsidR="00046A8A" w:rsidRPr="004342DA" w:rsidRDefault="00046A8A" w:rsidP="004342DA">
            <w:pPr>
              <w:pStyle w:val="ListParagraph"/>
              <w:numPr>
                <w:ilvl w:val="0"/>
                <w:numId w:val="2"/>
              </w:numPr>
              <w:rPr>
                <w:rFonts w:ascii="Cambria" w:hAnsi="Cambria"/>
                <w:sz w:val="24"/>
                <w:szCs w:val="24"/>
              </w:rPr>
            </w:pPr>
            <w:r w:rsidRPr="004342DA">
              <w:rPr>
                <w:rFonts w:ascii="Cambria" w:hAnsi="Cambria"/>
                <w:sz w:val="24"/>
                <w:szCs w:val="24"/>
              </w:rPr>
              <w:t>Competition Policy</w:t>
            </w:r>
          </w:p>
          <w:p w:rsidR="00046A8A" w:rsidRPr="004342DA" w:rsidRDefault="00046A8A" w:rsidP="004342DA">
            <w:pPr>
              <w:pStyle w:val="ListParagraph"/>
              <w:numPr>
                <w:ilvl w:val="0"/>
                <w:numId w:val="2"/>
              </w:numPr>
              <w:rPr>
                <w:rFonts w:ascii="Cambria" w:hAnsi="Cambria"/>
                <w:sz w:val="24"/>
                <w:szCs w:val="24"/>
              </w:rPr>
            </w:pPr>
            <w:r w:rsidRPr="004342DA">
              <w:rPr>
                <w:rFonts w:ascii="Cambria" w:hAnsi="Cambria"/>
                <w:sz w:val="24"/>
                <w:szCs w:val="24"/>
              </w:rPr>
              <w:t>Competition and Economic Growth</w:t>
            </w:r>
          </w:p>
        </w:tc>
        <w:tc>
          <w:tcPr>
            <w:tcW w:w="2425" w:type="dxa"/>
          </w:tcPr>
          <w:p w:rsidR="00046A8A" w:rsidRPr="004342DA" w:rsidRDefault="00046A8A" w:rsidP="00272BF6">
            <w:pPr>
              <w:rPr>
                <w:rFonts w:ascii="Cambria" w:hAnsi="Cambria"/>
                <w:sz w:val="24"/>
                <w:szCs w:val="24"/>
              </w:rPr>
            </w:pPr>
            <w:r w:rsidRPr="004342DA">
              <w:rPr>
                <w:rFonts w:ascii="Cambria" w:hAnsi="Cambria"/>
                <w:sz w:val="24"/>
                <w:szCs w:val="24"/>
              </w:rPr>
              <w:t>Businesses</w:t>
            </w:r>
          </w:p>
        </w:tc>
        <w:tc>
          <w:tcPr>
            <w:tcW w:w="3092" w:type="dxa"/>
          </w:tcPr>
          <w:p w:rsidR="00046A8A" w:rsidRPr="004342DA" w:rsidRDefault="00046A8A" w:rsidP="00272BF6">
            <w:pPr>
              <w:rPr>
                <w:rFonts w:ascii="Cambria" w:hAnsi="Cambria"/>
                <w:sz w:val="24"/>
                <w:szCs w:val="24"/>
              </w:rPr>
            </w:pPr>
            <w:r w:rsidRPr="004342DA">
              <w:rPr>
                <w:rFonts w:ascii="Cambria" w:hAnsi="Cambria"/>
                <w:sz w:val="24"/>
                <w:szCs w:val="24"/>
              </w:rPr>
              <w:t>September 2012</w:t>
            </w:r>
          </w:p>
        </w:tc>
      </w:tr>
      <w:tr w:rsidR="00046A8A" w:rsidRPr="004342DA" w:rsidTr="00227C8A">
        <w:tc>
          <w:tcPr>
            <w:tcW w:w="3767" w:type="dxa"/>
          </w:tcPr>
          <w:p w:rsidR="00046A8A" w:rsidRPr="004342DA" w:rsidRDefault="00046A8A" w:rsidP="00272BF6">
            <w:pPr>
              <w:rPr>
                <w:rFonts w:ascii="Cambria" w:hAnsi="Cambria"/>
                <w:sz w:val="24"/>
                <w:szCs w:val="24"/>
              </w:rPr>
            </w:pPr>
            <w:r w:rsidRPr="004342DA">
              <w:rPr>
                <w:rFonts w:ascii="Cambria" w:hAnsi="Cambria"/>
                <w:sz w:val="24"/>
                <w:szCs w:val="24"/>
              </w:rPr>
              <w:t>Two Newsletters</w:t>
            </w:r>
          </w:p>
          <w:p w:rsidR="00046A8A" w:rsidRPr="004342DA" w:rsidRDefault="00046A8A" w:rsidP="00272BF6">
            <w:pPr>
              <w:rPr>
                <w:rFonts w:ascii="Cambria" w:hAnsi="Cambria"/>
                <w:sz w:val="24"/>
                <w:szCs w:val="24"/>
              </w:rPr>
            </w:pPr>
            <w:r w:rsidRPr="004342DA">
              <w:rPr>
                <w:rFonts w:ascii="Cambria" w:hAnsi="Cambria"/>
                <w:sz w:val="24"/>
                <w:szCs w:val="24"/>
              </w:rPr>
              <w:t xml:space="preserve">  </w:t>
            </w:r>
            <w:proofErr w:type="gramStart"/>
            <w:r w:rsidRPr="004342DA">
              <w:rPr>
                <w:rFonts w:ascii="Cambria" w:hAnsi="Cambria"/>
                <w:sz w:val="24"/>
                <w:szCs w:val="24"/>
              </w:rPr>
              <w:t>1.)Bid</w:t>
            </w:r>
            <w:proofErr w:type="gramEnd"/>
            <w:r w:rsidRPr="004342DA">
              <w:rPr>
                <w:rFonts w:ascii="Cambria" w:hAnsi="Cambria"/>
                <w:sz w:val="24"/>
                <w:szCs w:val="24"/>
              </w:rPr>
              <w:t xml:space="preserve"> Rigging in Public Procurement</w:t>
            </w:r>
          </w:p>
          <w:p w:rsidR="00046A8A" w:rsidRPr="004342DA" w:rsidRDefault="00046A8A" w:rsidP="00272BF6">
            <w:pPr>
              <w:rPr>
                <w:rFonts w:ascii="Cambria" w:hAnsi="Cambria"/>
                <w:sz w:val="24"/>
                <w:szCs w:val="24"/>
              </w:rPr>
            </w:pPr>
            <w:r w:rsidRPr="004342DA">
              <w:rPr>
                <w:rFonts w:ascii="Cambria" w:hAnsi="Cambria"/>
                <w:sz w:val="24"/>
                <w:szCs w:val="24"/>
              </w:rPr>
              <w:t xml:space="preserve">  2.) Cartels under the CFTA</w:t>
            </w:r>
          </w:p>
        </w:tc>
        <w:tc>
          <w:tcPr>
            <w:tcW w:w="2425" w:type="dxa"/>
          </w:tcPr>
          <w:p w:rsidR="00046A8A" w:rsidRPr="004342DA" w:rsidRDefault="00046A8A" w:rsidP="00272BF6">
            <w:pPr>
              <w:rPr>
                <w:rFonts w:ascii="Cambria" w:hAnsi="Cambria"/>
                <w:sz w:val="24"/>
                <w:szCs w:val="24"/>
              </w:rPr>
            </w:pPr>
            <w:r w:rsidRPr="004342DA">
              <w:rPr>
                <w:rFonts w:ascii="Cambria" w:hAnsi="Cambria"/>
                <w:sz w:val="24"/>
                <w:szCs w:val="24"/>
              </w:rPr>
              <w:t>Businesses</w:t>
            </w:r>
          </w:p>
        </w:tc>
        <w:tc>
          <w:tcPr>
            <w:tcW w:w="3092" w:type="dxa"/>
          </w:tcPr>
          <w:p w:rsidR="00046A8A" w:rsidRPr="004342DA" w:rsidRDefault="00046A8A" w:rsidP="00272BF6">
            <w:pPr>
              <w:rPr>
                <w:rFonts w:ascii="Cambria" w:hAnsi="Cambria"/>
                <w:sz w:val="24"/>
                <w:szCs w:val="24"/>
              </w:rPr>
            </w:pPr>
            <w:r w:rsidRPr="004342DA">
              <w:rPr>
                <w:rFonts w:ascii="Cambria" w:hAnsi="Cambria"/>
                <w:sz w:val="24"/>
                <w:szCs w:val="24"/>
              </w:rPr>
              <w:t>September/October 2012</w:t>
            </w:r>
          </w:p>
        </w:tc>
      </w:tr>
      <w:tr w:rsidR="00046A8A" w:rsidRPr="004342DA" w:rsidTr="00227C8A">
        <w:tc>
          <w:tcPr>
            <w:tcW w:w="3767" w:type="dxa"/>
          </w:tcPr>
          <w:p w:rsidR="00046A8A" w:rsidRPr="004342DA" w:rsidRDefault="00046A8A" w:rsidP="004342DA">
            <w:pPr>
              <w:rPr>
                <w:rFonts w:ascii="Cambria" w:hAnsi="Cambria"/>
                <w:sz w:val="24"/>
                <w:szCs w:val="24"/>
              </w:rPr>
            </w:pPr>
            <w:r w:rsidRPr="004342DA">
              <w:rPr>
                <w:rFonts w:ascii="Cambria" w:hAnsi="Cambria"/>
                <w:sz w:val="24"/>
                <w:szCs w:val="24"/>
              </w:rPr>
              <w:t>Two Newsletters on Consumer Protection</w:t>
            </w:r>
          </w:p>
        </w:tc>
        <w:tc>
          <w:tcPr>
            <w:tcW w:w="2425" w:type="dxa"/>
          </w:tcPr>
          <w:p w:rsidR="00046A8A" w:rsidRPr="004342DA" w:rsidRDefault="00046A8A" w:rsidP="00272BF6">
            <w:pPr>
              <w:rPr>
                <w:rFonts w:ascii="Cambria" w:hAnsi="Cambria"/>
                <w:sz w:val="24"/>
                <w:szCs w:val="24"/>
              </w:rPr>
            </w:pPr>
            <w:r w:rsidRPr="004342DA">
              <w:rPr>
                <w:rFonts w:ascii="Cambria" w:hAnsi="Cambria"/>
                <w:sz w:val="24"/>
                <w:szCs w:val="24"/>
              </w:rPr>
              <w:t>One for consumers and the other for suppliers</w:t>
            </w:r>
          </w:p>
        </w:tc>
        <w:tc>
          <w:tcPr>
            <w:tcW w:w="3092" w:type="dxa"/>
          </w:tcPr>
          <w:p w:rsidR="00046A8A" w:rsidRPr="004342DA" w:rsidRDefault="00046A8A" w:rsidP="00272BF6">
            <w:pPr>
              <w:rPr>
                <w:rFonts w:ascii="Cambria" w:hAnsi="Cambria"/>
                <w:sz w:val="24"/>
                <w:szCs w:val="24"/>
              </w:rPr>
            </w:pPr>
            <w:r w:rsidRPr="004342DA">
              <w:rPr>
                <w:rFonts w:ascii="Cambria" w:hAnsi="Cambria"/>
                <w:sz w:val="24"/>
                <w:szCs w:val="24"/>
              </w:rPr>
              <w:t>September/October 2012</w:t>
            </w:r>
          </w:p>
        </w:tc>
      </w:tr>
      <w:tr w:rsidR="00046A8A" w:rsidRPr="004342DA" w:rsidTr="00227C8A">
        <w:tc>
          <w:tcPr>
            <w:tcW w:w="3767" w:type="dxa"/>
          </w:tcPr>
          <w:p w:rsidR="00046A8A" w:rsidRPr="004342DA" w:rsidRDefault="00046A8A" w:rsidP="004342DA">
            <w:pPr>
              <w:rPr>
                <w:rFonts w:ascii="Cambria" w:hAnsi="Cambria"/>
                <w:sz w:val="24"/>
                <w:szCs w:val="24"/>
              </w:rPr>
            </w:pPr>
            <w:r w:rsidRPr="004342DA">
              <w:rPr>
                <w:rFonts w:ascii="Cambria" w:hAnsi="Cambria"/>
                <w:sz w:val="24"/>
                <w:szCs w:val="24"/>
              </w:rPr>
              <w:t>Bookmark on Consumer Protection</w:t>
            </w:r>
          </w:p>
        </w:tc>
        <w:tc>
          <w:tcPr>
            <w:tcW w:w="2425" w:type="dxa"/>
          </w:tcPr>
          <w:p w:rsidR="00046A8A" w:rsidRPr="004342DA" w:rsidRDefault="00046A8A" w:rsidP="00272BF6">
            <w:pPr>
              <w:rPr>
                <w:rFonts w:ascii="Cambria" w:hAnsi="Cambria"/>
                <w:sz w:val="24"/>
                <w:szCs w:val="24"/>
              </w:rPr>
            </w:pPr>
            <w:r w:rsidRPr="004342DA">
              <w:rPr>
                <w:rFonts w:ascii="Cambria" w:hAnsi="Cambria"/>
                <w:sz w:val="24"/>
                <w:szCs w:val="24"/>
              </w:rPr>
              <w:t>Consumers</w:t>
            </w:r>
          </w:p>
        </w:tc>
        <w:tc>
          <w:tcPr>
            <w:tcW w:w="3092" w:type="dxa"/>
          </w:tcPr>
          <w:p w:rsidR="00046A8A" w:rsidRPr="004342DA" w:rsidRDefault="00046A8A" w:rsidP="00272BF6">
            <w:pPr>
              <w:rPr>
                <w:rFonts w:ascii="Cambria" w:hAnsi="Cambria"/>
                <w:sz w:val="24"/>
                <w:szCs w:val="24"/>
              </w:rPr>
            </w:pPr>
            <w:r w:rsidRPr="004342DA">
              <w:rPr>
                <w:rFonts w:ascii="Cambria" w:hAnsi="Cambria"/>
                <w:sz w:val="24"/>
                <w:szCs w:val="24"/>
              </w:rPr>
              <w:t>September 2012</w:t>
            </w:r>
          </w:p>
        </w:tc>
      </w:tr>
    </w:tbl>
    <w:p w:rsidR="004342DA" w:rsidRDefault="004342DA" w:rsidP="004342DA">
      <w:pPr>
        <w:rPr>
          <w:rFonts w:ascii="Cambria" w:hAnsi="Cambria"/>
          <w:sz w:val="24"/>
          <w:szCs w:val="24"/>
        </w:rPr>
      </w:pPr>
    </w:p>
    <w:p w:rsidR="00227C8A" w:rsidRDefault="00227C8A" w:rsidP="004342DA">
      <w:pPr>
        <w:rPr>
          <w:rFonts w:ascii="Cambria" w:hAnsi="Cambria"/>
          <w:sz w:val="24"/>
          <w:szCs w:val="24"/>
        </w:rPr>
      </w:pPr>
    </w:p>
    <w:p w:rsidR="00227C8A" w:rsidRDefault="00227C8A" w:rsidP="004342DA">
      <w:pPr>
        <w:rPr>
          <w:rFonts w:ascii="Cambria" w:hAnsi="Cambria"/>
          <w:sz w:val="24"/>
          <w:szCs w:val="24"/>
        </w:rPr>
        <w:sectPr w:rsidR="00227C8A" w:rsidSect="00227C8A">
          <w:pgSz w:w="15840" w:h="12240" w:orient="landscape"/>
          <w:pgMar w:top="1440" w:right="1440" w:bottom="1440" w:left="1440" w:header="720" w:footer="720" w:gutter="0"/>
          <w:pgNumType w:start="0"/>
          <w:cols w:space="720"/>
          <w:titlePg/>
          <w:docGrid w:linePitch="360"/>
        </w:sectPr>
      </w:pPr>
    </w:p>
    <w:p w:rsidR="00227C8A" w:rsidRDefault="00227C8A" w:rsidP="00227C8A">
      <w:pPr>
        <w:pStyle w:val="Heading1"/>
      </w:pPr>
      <w:bookmarkStart w:id="21" w:name="_Toc346108604"/>
      <w:r>
        <w:lastRenderedPageBreak/>
        <w:t xml:space="preserve">Expected </w:t>
      </w:r>
      <w:r w:rsidRPr="00001A34">
        <w:t>Achievements of the Competition and Consumer Affairs Commission for 201</w:t>
      </w:r>
      <w:r w:rsidR="00A870FE">
        <w:t>3</w:t>
      </w:r>
      <w:bookmarkEnd w:id="21"/>
    </w:p>
    <w:p w:rsidR="00227C8A" w:rsidRPr="006E78A5" w:rsidRDefault="00227C8A" w:rsidP="00227C8A">
      <w:pPr>
        <w:rPr>
          <w:rFonts w:ascii="Times New Roman" w:hAnsi="Times New Roman"/>
        </w:rPr>
      </w:pPr>
    </w:p>
    <w:p w:rsidR="00227C8A" w:rsidRPr="00227C8A" w:rsidRDefault="00227C8A" w:rsidP="00227C8A">
      <w:pPr>
        <w:pStyle w:val="ListParagraph"/>
        <w:numPr>
          <w:ilvl w:val="0"/>
          <w:numId w:val="4"/>
        </w:numPr>
        <w:rPr>
          <w:rFonts w:asciiTheme="majorHAnsi" w:hAnsiTheme="majorHAnsi"/>
          <w:sz w:val="24"/>
          <w:szCs w:val="24"/>
        </w:rPr>
      </w:pPr>
      <w:proofErr w:type="spellStart"/>
      <w:r w:rsidRPr="00227C8A">
        <w:rPr>
          <w:rFonts w:asciiTheme="majorHAnsi" w:hAnsiTheme="majorHAnsi"/>
          <w:sz w:val="24"/>
          <w:szCs w:val="24"/>
        </w:rPr>
        <w:t>Finalisation</w:t>
      </w:r>
      <w:proofErr w:type="spellEnd"/>
      <w:r w:rsidRPr="00227C8A">
        <w:rPr>
          <w:rFonts w:asciiTheme="majorHAnsi" w:hAnsiTheme="majorHAnsi"/>
          <w:sz w:val="24"/>
          <w:szCs w:val="24"/>
        </w:rPr>
        <w:t xml:space="preserve"> of Rules of Procedures for Investigating Competition Law Infringements and Consumer Protection Violations</w:t>
      </w:r>
    </w:p>
    <w:p w:rsidR="00227C8A" w:rsidRPr="00227C8A" w:rsidRDefault="00227C8A" w:rsidP="00227C8A">
      <w:pPr>
        <w:pStyle w:val="ListParagraph"/>
        <w:numPr>
          <w:ilvl w:val="0"/>
          <w:numId w:val="4"/>
        </w:numPr>
        <w:rPr>
          <w:rFonts w:asciiTheme="majorHAnsi" w:hAnsiTheme="majorHAnsi"/>
          <w:sz w:val="24"/>
          <w:szCs w:val="24"/>
        </w:rPr>
      </w:pPr>
      <w:r w:rsidRPr="00227C8A">
        <w:rPr>
          <w:rFonts w:asciiTheme="majorHAnsi" w:hAnsiTheme="majorHAnsi"/>
          <w:sz w:val="24"/>
          <w:szCs w:val="24"/>
        </w:rPr>
        <w:t>Ongoing specialized training with experts in the areas of competition law and consumer protection</w:t>
      </w:r>
    </w:p>
    <w:p w:rsidR="00227C8A" w:rsidRPr="00227C8A" w:rsidRDefault="00227C8A" w:rsidP="00227C8A">
      <w:pPr>
        <w:pStyle w:val="ListParagraph"/>
        <w:numPr>
          <w:ilvl w:val="0"/>
          <w:numId w:val="4"/>
        </w:numPr>
        <w:rPr>
          <w:rFonts w:asciiTheme="majorHAnsi" w:hAnsiTheme="majorHAnsi"/>
          <w:sz w:val="24"/>
          <w:szCs w:val="24"/>
        </w:rPr>
      </w:pPr>
      <w:r w:rsidRPr="00227C8A">
        <w:rPr>
          <w:rFonts w:asciiTheme="majorHAnsi" w:hAnsiTheme="majorHAnsi"/>
          <w:sz w:val="24"/>
          <w:szCs w:val="24"/>
        </w:rPr>
        <w:t>At least twelve seminars/workshops on Consumer Protection and Competition Law</w:t>
      </w:r>
      <w:r w:rsidR="00046A8A">
        <w:rPr>
          <w:rFonts w:asciiTheme="majorHAnsi" w:hAnsiTheme="majorHAnsi"/>
          <w:sz w:val="24"/>
          <w:szCs w:val="24"/>
        </w:rPr>
        <w:t xml:space="preserve"> for stakeholders</w:t>
      </w:r>
    </w:p>
    <w:p w:rsidR="00227C8A" w:rsidRPr="00227C8A" w:rsidRDefault="00227C8A" w:rsidP="00227C8A">
      <w:pPr>
        <w:pStyle w:val="ListParagraph"/>
        <w:numPr>
          <w:ilvl w:val="0"/>
          <w:numId w:val="4"/>
        </w:numPr>
        <w:rPr>
          <w:rFonts w:asciiTheme="majorHAnsi" w:hAnsiTheme="majorHAnsi"/>
          <w:sz w:val="24"/>
          <w:szCs w:val="24"/>
        </w:rPr>
      </w:pPr>
      <w:r w:rsidRPr="00227C8A">
        <w:rPr>
          <w:rFonts w:asciiTheme="majorHAnsi" w:hAnsiTheme="majorHAnsi"/>
          <w:sz w:val="24"/>
          <w:szCs w:val="24"/>
        </w:rPr>
        <w:t>Ongoing collaboration with sector regulators</w:t>
      </w:r>
    </w:p>
    <w:p w:rsidR="00227C8A" w:rsidRPr="00227C8A" w:rsidRDefault="00227C8A" w:rsidP="00227C8A">
      <w:pPr>
        <w:pStyle w:val="ListParagraph"/>
        <w:numPr>
          <w:ilvl w:val="0"/>
          <w:numId w:val="4"/>
        </w:numPr>
        <w:rPr>
          <w:rFonts w:asciiTheme="majorHAnsi" w:hAnsiTheme="majorHAnsi"/>
          <w:sz w:val="24"/>
          <w:szCs w:val="24"/>
        </w:rPr>
      </w:pPr>
      <w:r w:rsidRPr="00227C8A">
        <w:rPr>
          <w:rFonts w:asciiTheme="majorHAnsi" w:hAnsiTheme="majorHAnsi"/>
          <w:sz w:val="24"/>
          <w:szCs w:val="24"/>
        </w:rPr>
        <w:t>Development and dissemination of a quarterly newsletter</w:t>
      </w:r>
    </w:p>
    <w:p w:rsidR="00227C8A" w:rsidRPr="00227C8A" w:rsidRDefault="00227C8A" w:rsidP="00227C8A">
      <w:pPr>
        <w:pStyle w:val="ListParagraph"/>
        <w:numPr>
          <w:ilvl w:val="0"/>
          <w:numId w:val="4"/>
        </w:numPr>
        <w:rPr>
          <w:rFonts w:asciiTheme="majorHAnsi" w:hAnsiTheme="majorHAnsi"/>
          <w:sz w:val="24"/>
          <w:szCs w:val="24"/>
        </w:rPr>
      </w:pPr>
      <w:r w:rsidRPr="00227C8A">
        <w:rPr>
          <w:rFonts w:asciiTheme="majorHAnsi" w:hAnsiTheme="majorHAnsi"/>
          <w:sz w:val="24"/>
          <w:szCs w:val="24"/>
        </w:rPr>
        <w:t>Participation in media programs that allow the community to speak with representatives of the Commission.</w:t>
      </w:r>
    </w:p>
    <w:p w:rsidR="00C61DAF" w:rsidRPr="00C61DAF" w:rsidRDefault="00227C8A" w:rsidP="00C61DAF">
      <w:pPr>
        <w:pStyle w:val="ListParagraph"/>
        <w:numPr>
          <w:ilvl w:val="0"/>
          <w:numId w:val="4"/>
        </w:numPr>
        <w:rPr>
          <w:rFonts w:asciiTheme="majorHAnsi" w:hAnsiTheme="majorHAnsi"/>
          <w:sz w:val="24"/>
          <w:szCs w:val="24"/>
        </w:rPr>
      </w:pPr>
      <w:r w:rsidRPr="00227C8A">
        <w:rPr>
          <w:rFonts w:asciiTheme="majorHAnsi" w:hAnsiTheme="majorHAnsi"/>
          <w:sz w:val="24"/>
          <w:szCs w:val="24"/>
        </w:rPr>
        <w:t xml:space="preserve">Establishment of a database for the Commission to house all critical data collected during investigations </w:t>
      </w:r>
    </w:p>
    <w:p w:rsidR="00C61DAF" w:rsidRDefault="00C61DAF" w:rsidP="00C61DAF">
      <w:pPr>
        <w:pStyle w:val="Heading1"/>
        <w:ind w:left="-5"/>
      </w:pPr>
      <w:r>
        <w:t xml:space="preserve">Statement of audited Accounts January- December 2012 </w:t>
      </w:r>
    </w:p>
    <w:p w:rsidR="00C61DAF" w:rsidRDefault="00C61DAF" w:rsidP="00C61DAF">
      <w:pPr>
        <w:ind w:left="-5"/>
      </w:pPr>
    </w:p>
    <w:p w:rsidR="00C61DAF" w:rsidRDefault="00C61DAF" w:rsidP="00C61DAF">
      <w:pPr>
        <w:ind w:left="-5"/>
      </w:pPr>
      <w:r>
        <w:t xml:space="preserve">See Annex </w:t>
      </w:r>
    </w:p>
    <w:p w:rsidR="00227C8A" w:rsidRDefault="00227C8A"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Default="00965886" w:rsidP="00C61DAF">
      <w:pPr>
        <w:rPr>
          <w:rFonts w:asciiTheme="majorHAnsi" w:hAnsiTheme="majorHAnsi"/>
          <w:sz w:val="24"/>
          <w:szCs w:val="24"/>
        </w:rPr>
      </w:pPr>
    </w:p>
    <w:p w:rsidR="00965886" w:rsidRPr="00965886" w:rsidRDefault="00965886" w:rsidP="00965886">
      <w:pPr>
        <w:jc w:val="center"/>
        <w:rPr>
          <w:rFonts w:asciiTheme="majorHAnsi" w:hAnsiTheme="majorHAnsi"/>
          <w:sz w:val="144"/>
          <w:szCs w:val="144"/>
        </w:rPr>
      </w:pPr>
    </w:p>
    <w:p w:rsidR="00965886" w:rsidRDefault="00965886" w:rsidP="00965886">
      <w:pPr>
        <w:jc w:val="center"/>
        <w:rPr>
          <w:rFonts w:asciiTheme="majorHAnsi" w:hAnsiTheme="majorHAnsi"/>
          <w:sz w:val="144"/>
          <w:szCs w:val="144"/>
        </w:rPr>
      </w:pPr>
    </w:p>
    <w:p w:rsidR="00965886" w:rsidRPr="00965886" w:rsidRDefault="00965886" w:rsidP="00965886">
      <w:pPr>
        <w:jc w:val="center"/>
        <w:rPr>
          <w:rFonts w:asciiTheme="majorHAnsi" w:hAnsiTheme="majorHAnsi"/>
          <w:sz w:val="144"/>
          <w:szCs w:val="144"/>
        </w:rPr>
      </w:pPr>
      <w:bookmarkStart w:id="22" w:name="_Hlk525562063"/>
      <w:r w:rsidRPr="00965886">
        <w:rPr>
          <w:rFonts w:asciiTheme="majorHAnsi" w:hAnsiTheme="majorHAnsi"/>
          <w:sz w:val="144"/>
          <w:szCs w:val="144"/>
        </w:rPr>
        <w:t>ANNEX</w:t>
      </w:r>
    </w:p>
    <w:p w:rsidR="00965886" w:rsidRPr="00965886" w:rsidRDefault="00965886" w:rsidP="00965886">
      <w:pPr>
        <w:jc w:val="center"/>
        <w:rPr>
          <w:rFonts w:asciiTheme="majorHAnsi" w:hAnsiTheme="majorHAnsi"/>
          <w:sz w:val="144"/>
          <w:szCs w:val="144"/>
        </w:rPr>
      </w:pPr>
      <w:bookmarkStart w:id="23" w:name="_GoBack"/>
      <w:bookmarkEnd w:id="22"/>
      <w:bookmarkEnd w:id="23"/>
    </w:p>
    <w:sectPr w:rsidR="00965886" w:rsidRPr="00965886" w:rsidSect="00A870FE">
      <w:headerReference w:type="default" r:id="rId9"/>
      <w:footerReference w:type="default" r:id="rId10"/>
      <w:headerReference w:type="first" r:id="rId11"/>
      <w:pgSz w:w="12240" w:h="15840"/>
      <w:pgMar w:top="18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D21" w:rsidRDefault="00905D21" w:rsidP="00E16139">
      <w:pPr>
        <w:spacing w:after="0" w:line="240" w:lineRule="auto"/>
      </w:pPr>
      <w:r>
        <w:separator/>
      </w:r>
    </w:p>
  </w:endnote>
  <w:endnote w:type="continuationSeparator" w:id="0">
    <w:p w:rsidR="00905D21" w:rsidRDefault="00905D21" w:rsidP="00E1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57" w:rsidRDefault="001D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D21" w:rsidRDefault="00905D21" w:rsidP="00E16139">
      <w:pPr>
        <w:spacing w:after="0" w:line="240" w:lineRule="auto"/>
      </w:pPr>
      <w:r>
        <w:separator/>
      </w:r>
    </w:p>
  </w:footnote>
  <w:footnote w:type="continuationSeparator" w:id="0">
    <w:p w:rsidR="00905D21" w:rsidRDefault="00905D21" w:rsidP="00E16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57" w:rsidRDefault="001D0E57">
    <w:pPr>
      <w:pStyle w:val="Header"/>
    </w:pPr>
  </w:p>
  <w:p w:rsidR="001D0E57" w:rsidRDefault="001D0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57" w:rsidRDefault="001D0E57">
    <w:pPr>
      <w:pStyle w:val="Header"/>
    </w:pPr>
  </w:p>
  <w:p w:rsidR="001D0E57" w:rsidRDefault="001D0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B0E1E"/>
    <w:multiLevelType w:val="hybridMultilevel"/>
    <w:tmpl w:val="8946B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46EED"/>
    <w:multiLevelType w:val="hybridMultilevel"/>
    <w:tmpl w:val="93A0D398"/>
    <w:lvl w:ilvl="0" w:tplc="5D26CD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CB5696E"/>
    <w:multiLevelType w:val="hybridMultilevel"/>
    <w:tmpl w:val="CCD6D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B19B5"/>
    <w:multiLevelType w:val="hybridMultilevel"/>
    <w:tmpl w:val="331036B6"/>
    <w:lvl w:ilvl="0" w:tplc="1304D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80116D"/>
    <w:multiLevelType w:val="hybridMultilevel"/>
    <w:tmpl w:val="9E9406A8"/>
    <w:lvl w:ilvl="0" w:tplc="C4F68CB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32"/>
    <w:rsid w:val="00000090"/>
    <w:rsid w:val="0001219A"/>
    <w:rsid w:val="000401B9"/>
    <w:rsid w:val="00046A8A"/>
    <w:rsid w:val="00096E3D"/>
    <w:rsid w:val="001841F8"/>
    <w:rsid w:val="001D0E57"/>
    <w:rsid w:val="00211F13"/>
    <w:rsid w:val="00213E88"/>
    <w:rsid w:val="00224F85"/>
    <w:rsid w:val="00227C8A"/>
    <w:rsid w:val="00272BF6"/>
    <w:rsid w:val="00373A7F"/>
    <w:rsid w:val="003E6826"/>
    <w:rsid w:val="004342DA"/>
    <w:rsid w:val="0048154D"/>
    <w:rsid w:val="00501BB1"/>
    <w:rsid w:val="0056423A"/>
    <w:rsid w:val="005B6467"/>
    <w:rsid w:val="005F7B81"/>
    <w:rsid w:val="006456C1"/>
    <w:rsid w:val="00682C45"/>
    <w:rsid w:val="0070067E"/>
    <w:rsid w:val="00744DE6"/>
    <w:rsid w:val="007E3B9A"/>
    <w:rsid w:val="00865D46"/>
    <w:rsid w:val="008F43DB"/>
    <w:rsid w:val="00905D21"/>
    <w:rsid w:val="00965886"/>
    <w:rsid w:val="00993532"/>
    <w:rsid w:val="00A476E4"/>
    <w:rsid w:val="00A870FE"/>
    <w:rsid w:val="00AD32AE"/>
    <w:rsid w:val="00B07C37"/>
    <w:rsid w:val="00C45F8D"/>
    <w:rsid w:val="00C61DAF"/>
    <w:rsid w:val="00C6779B"/>
    <w:rsid w:val="00D4760C"/>
    <w:rsid w:val="00D64AF8"/>
    <w:rsid w:val="00DA33A6"/>
    <w:rsid w:val="00DF497C"/>
    <w:rsid w:val="00E16139"/>
    <w:rsid w:val="00E8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EC9ED"/>
  <w15:docId w15:val="{E1DE3874-5DE7-45BF-A7EA-DBDF931B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5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42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7C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353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93532"/>
    <w:rPr>
      <w:rFonts w:eastAsiaTheme="minorEastAsia"/>
      <w:lang w:eastAsia="ja-JP"/>
    </w:rPr>
  </w:style>
  <w:style w:type="paragraph" w:styleId="BalloonText">
    <w:name w:val="Balloon Text"/>
    <w:basedOn w:val="Normal"/>
    <w:link w:val="BalloonTextChar"/>
    <w:uiPriority w:val="99"/>
    <w:semiHidden/>
    <w:unhideWhenUsed/>
    <w:rsid w:val="0099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532"/>
    <w:rPr>
      <w:rFonts w:ascii="Tahoma" w:hAnsi="Tahoma" w:cs="Tahoma"/>
      <w:sz w:val="16"/>
      <w:szCs w:val="16"/>
    </w:rPr>
  </w:style>
  <w:style w:type="table" w:styleId="TableGrid">
    <w:name w:val="Table Grid"/>
    <w:basedOn w:val="TableNormal"/>
    <w:uiPriority w:val="59"/>
    <w:rsid w:val="0099353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9935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93532"/>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4342D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4342DA"/>
    <w:pPr>
      <w:outlineLvl w:val="9"/>
    </w:pPr>
    <w:rPr>
      <w:lang w:eastAsia="ja-JP"/>
    </w:rPr>
  </w:style>
  <w:style w:type="paragraph" w:styleId="TOC1">
    <w:name w:val="toc 1"/>
    <w:basedOn w:val="Normal"/>
    <w:next w:val="Normal"/>
    <w:autoRedefine/>
    <w:uiPriority w:val="39"/>
    <w:unhideWhenUsed/>
    <w:rsid w:val="004342DA"/>
    <w:pPr>
      <w:spacing w:after="100"/>
    </w:pPr>
  </w:style>
  <w:style w:type="paragraph" w:styleId="TOC2">
    <w:name w:val="toc 2"/>
    <w:basedOn w:val="Normal"/>
    <w:next w:val="Normal"/>
    <w:autoRedefine/>
    <w:uiPriority w:val="39"/>
    <w:unhideWhenUsed/>
    <w:rsid w:val="004342DA"/>
    <w:pPr>
      <w:spacing w:after="100"/>
      <w:ind w:left="220"/>
    </w:pPr>
  </w:style>
  <w:style w:type="character" w:styleId="Hyperlink">
    <w:name w:val="Hyperlink"/>
    <w:basedOn w:val="DefaultParagraphFont"/>
    <w:uiPriority w:val="99"/>
    <w:unhideWhenUsed/>
    <w:rsid w:val="004342DA"/>
    <w:rPr>
      <w:color w:val="0000FF" w:themeColor="hyperlink"/>
      <w:u w:val="single"/>
    </w:rPr>
  </w:style>
  <w:style w:type="paragraph" w:styleId="Header">
    <w:name w:val="header"/>
    <w:basedOn w:val="Normal"/>
    <w:link w:val="HeaderChar"/>
    <w:uiPriority w:val="99"/>
    <w:unhideWhenUsed/>
    <w:rsid w:val="00E16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39"/>
  </w:style>
  <w:style w:type="paragraph" w:styleId="Footer">
    <w:name w:val="footer"/>
    <w:basedOn w:val="Normal"/>
    <w:link w:val="FooterChar"/>
    <w:uiPriority w:val="99"/>
    <w:unhideWhenUsed/>
    <w:rsid w:val="00E16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39"/>
  </w:style>
  <w:style w:type="table" w:customStyle="1" w:styleId="TableGrid1">
    <w:name w:val="Table Grid1"/>
    <w:basedOn w:val="TableNormal"/>
    <w:next w:val="TableGrid"/>
    <w:uiPriority w:val="59"/>
    <w:rsid w:val="00227C8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227C8A"/>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E68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0231">
      <w:bodyDiv w:val="1"/>
      <w:marLeft w:val="0"/>
      <w:marRight w:val="0"/>
      <w:marTop w:val="0"/>
      <w:marBottom w:val="0"/>
      <w:divBdr>
        <w:top w:val="none" w:sz="0" w:space="0" w:color="auto"/>
        <w:left w:val="none" w:sz="0" w:space="0" w:color="auto"/>
        <w:bottom w:val="none" w:sz="0" w:space="0" w:color="auto"/>
        <w:right w:val="none" w:sz="0" w:space="0" w:color="auto"/>
      </w:divBdr>
    </w:div>
    <w:div w:id="438306088">
      <w:bodyDiv w:val="1"/>
      <w:marLeft w:val="0"/>
      <w:marRight w:val="0"/>
      <w:marTop w:val="0"/>
      <w:marBottom w:val="0"/>
      <w:divBdr>
        <w:top w:val="none" w:sz="0" w:space="0" w:color="auto"/>
        <w:left w:val="none" w:sz="0" w:space="0" w:color="auto"/>
        <w:bottom w:val="none" w:sz="0" w:space="0" w:color="auto"/>
        <w:right w:val="none" w:sz="0" w:space="0" w:color="auto"/>
      </w:divBdr>
    </w:div>
    <w:div w:id="1350714619">
      <w:bodyDiv w:val="1"/>
      <w:marLeft w:val="0"/>
      <w:marRight w:val="0"/>
      <w:marTop w:val="0"/>
      <w:marBottom w:val="0"/>
      <w:divBdr>
        <w:top w:val="none" w:sz="0" w:space="0" w:color="auto"/>
        <w:left w:val="none" w:sz="0" w:space="0" w:color="auto"/>
        <w:bottom w:val="none" w:sz="0" w:space="0" w:color="auto"/>
        <w:right w:val="none" w:sz="0" w:space="0" w:color="auto"/>
      </w:divBdr>
    </w:div>
    <w:div w:id="19750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80A4-CDA8-4D4D-87B9-2EE5AE23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ANNUAL REPORT Competition and Consumer Affairs Commission for 2012</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Competition and Consumer Affairs Commission for 2012</dc:title>
  <dc:subject>Prepared by Seema Rambaran, Director</dc:subject>
  <dc:creator>Seema Rambaran, Director</dc:creator>
  <cp:lastModifiedBy>Vhasty Singh</cp:lastModifiedBy>
  <cp:revision>8</cp:revision>
  <cp:lastPrinted>2018-09-24T18:48:00Z</cp:lastPrinted>
  <dcterms:created xsi:type="dcterms:W3CDTF">2018-09-24T16:20:00Z</dcterms:created>
  <dcterms:modified xsi:type="dcterms:W3CDTF">2018-09-24T18:49:00Z</dcterms:modified>
</cp:coreProperties>
</file>